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AARP/122/2021 vom 26. April 2021</w:t>
      </w:r>
    </w:p>
    <w:p>
      <w:r>
        <w:t>GE Cour de justice, 2021-04-26, FR</w:t>
      </w:r>
    </w:p>
    <w:p>
      <w:r>
        <w:rPr>
          <w:b/>
        </w:rPr>
        <w:t xml:space="preserve">Quelle: </w:t>
      </w:r>
      <w:r>
        <w:t>https://mcp.opencaselaw.ch/entscheid/ge_gerichte_AARP_122_2021</w:t>
      </w:r>
    </w:p>
    <w:p>
      <w:r>
        <w:t>FR: GE_GERICHTE AARP/122/2021 du 26 avril 2021</w:t>
      </w:r>
    </w:p>
    <w:p>
      <w:r>
        <w:t>IT: GE_GERICHTE AARP/122/2021 del 26 aprile 2021</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aux considérants de l'arrêt du Tribunal fédéral du 16 décembre 2020, la Cour de céans, statuant à nouveau, doit uniquement réexaminer les accusations en lien avec les faits commis au détriment de la partie plaignante, après avoir auditionné celle-ci, puis fixer la peine en fonction de son verdict.</w:t>
      </w:r>
    </w:p>
    <w:p>
      <w:r>
        <w:rPr>
          <w:b/>
        </w:rPr>
        <w:t>E. 1.3</w:t>
      </w:r>
    </w:p>
    <w:p>
      <w:r>
        <w:t>Les conclusions civiles de l’intimée sont irrecevables en tant qu’elles excèdent les montants alloués par le premier juge, faute d’appel joint formé en temps utile.</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127 I 28 consid. 2a p. 40 s. ; 144 IV 345 consid. 2.2.3.2).</w:t>
      </w:r>
    </w:p>
    <w:p>
      <w:r>
        <w:t>- 10/23 - P/24432/2017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2.1.2. Conformément au principe de la libre appréciation des preuves, l'appréciation de la crédibilité des divers moyens de preuve relève en premier lieu de la compétence du juge du fait et aucun moyen de preuve ne s'impose à lui. Pour l’appréciation des déclarations d’enfants, la jurisprudence a néanmoins admis le recours à des expertises dites de crédibilité, notamment lorsqu'il s'agit d'évaluer les déclarations d'un enfant qui sont fragmentaires ou difficilement. Une telle expertise, fondée sur les principes de psychologie et notamment sur les règles en matière de psychologie de la déclaration et de la mémoire, est une sorte de mise à l'épreuve d'hypothèses dans le cadre de l'analyse de contenu (critères d'analyses appelés aussi axes d'orientation) et de l'évaluation de la genèse de la déclaration et du comportement complétée par l'analyse des caractéristiques du témoin, de son vécu, de son histoire personnelle, de sa constellation systémique et de divers éléments extérieurs (ATF 128 I 81 consid. 2 p. 85). Dans ce contexte, il est admis que la première déclaration est d’une importance décisive (ATF 129 I 49 consid. 6.1), le passage du temps, ainsi que les mécanismes de traitement et de répression des souvenirs traumatisants pouvant altérer la mémoire. Les principes dégagés dans ce contexte peuvent utilement guider le juge dans son travail d’appréciation des preuves (R. LUDEWIG / S. BAUMER / D. TAVOR, Einführung in die Aussagepsychologie, et R. VOLBERT, Aussagen über Traumata, in Aussagepsychologie für die Rechtspraxis, Zürich 2017).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2.2.1. Selon l'art. 189 CP, se rend coupable de contrainte sexuelle celui qui, notamment, en usant de menace ou de violence envers une personne, en exerçant sur</w:t>
      </w:r>
    </w:p>
    <w:p>
      <w:r>
        <w:t>- 11/23 - P/24432/2017 elle des pressions d'ordre psychique ou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pour le cas où la victime est une femme et qu'il lui est imposé l'acte sexuel proprement dit (art. 190 al. 1 CP).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 2.2.2.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 arrêt du Tribunal fédéral 6B_1306/2017 du 17 mai 2018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p. 111 s. ; arrêt du Tribunal fédéral 6B_774/2015 du 22 mai 2015 consid. 4.4.2). 2.2.3.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w:t>
      </w:r>
    </w:p>
    <w:p>
      <w:r>
        <w:t>- 12/23 - P/24432/2017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2.2.4.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(cf. arrêts du Tribunal fédéral 6B_729/2011 du 17 janvier 2012 consid. 1.2 ; 6S_463/2005 du 10 février 2006 consid. 2 ; 6S_334/2003 du 10 octobre 2003 consid. 3 ; 6S_67/2001 du 22 octobre 2001 consid. 2e). Ainsi, des caresses sur les seins, les jambes ou le sexe dénudé de la victime pourraient être considérés comme des préliminaires ou des actes accessoires antérieurs absorbés par le viol (cf.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w:t>
      </w:r>
    </w:p>
    <w:p>
      <w:r>
        <w:rPr>
          <w:b/>
        </w:rPr>
        <w:t>E. 2.3</w:t>
      </w:r>
    </w:p>
    <w:p>
      <w:r>
        <w:t>Le viol et la contrainte sexuelle sont passibles d’une peine privative de liberté de trois ans au moins si l’auteur a agi avec cruauté, notamment s’il a fait usage d’une arme dangereuse ou d’un autre objet dangereux (art. 189 al. 3 et 190 al. 3 CP).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 titre d'exemple de cruauté, les art. 189 al. 3 et 190 al. 3 CP citent l'usage d'une arme ou d'un autre objet dangereux. D'autres circonstances peuvent cependant amener à conclure à la cruauté. Ainsi, lorsque l'auteur serre le cou de la victime avec telle violence que celle-ci en vient à craindre pour sa vie, ou le fait d'étrangler</w:t>
      </w:r>
    </w:p>
    <w:p>
      <w:r>
        <w:t>- 13/23 - P/24432/2017 fortement celle-ci, pendant plusieurs minutes et de manière intermittente, ont été retenus comme une marque de cruauté, tout comme lorsque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 Le Tribunal fédéral a également retenu de telles souffrances et, partant, la cruauté dans un cas où l'auteur, après avoir tenté de violer sa victime, lui avait exhibé une scie et une bande adhésive, en menaçant de la tuer avant de la violer, ainsi que dans un cas où, pour violer sa victime, l'auteur avait placé un couteau sous le cou de celle-ci, en menaçant de la blesser si elle ne se laissait pas faire ou encore dans un autre cas où l'auteur avait menacé de planter des ciseaux dans le corps de sa victime (ATF 119 IV 49 ; 119 IV 224 ; arrêts du Tribunal fédéral 6S_463/2005 du 10 février 2006 consid. 3.1 ; 6P_54/2007 du 13 juillet 2007 consid. 5.1).</w:t>
      </w:r>
    </w:p>
    <w:p>
      <w:r>
        <w:rPr>
          <w:b/>
        </w:rPr>
        <w:t>E. 2.4</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w:t>
      </w:r>
    </w:p>
    <w:p>
      <w:r>
        <w:rPr>
          <w:b/>
        </w:rPr>
        <w:t>E. 2.5</w:t>
      </w:r>
    </w:p>
    <w:p>
      <w:r>
        <w:t>En l’espèce, l’appelant ne conteste pas avoir entretenu une relation sexuelle avec la plaignante, tout en maintenant qu’elle était consentie et payée et en expliquant le temps passé dans les locaux par une discussion avec d’autres prostituées. Il décrit peu le déroulement des faits et fournit très peu d’informations au-delà d’un récit quelque peu stéréotypé. Pour sa part, la plaignante, qui a été entendue immédiatement après les faits puis en audience contradictoire peu après (le 9 janvier 2018), fournit un récit empreint d’émotions et riche en détails spécifiques. Pour répondre à la convocation de la CPAR suite à l’arrêt de renvoi, elle accepté de venir à Genève depuis la Colombie, en période de pandémie, s’exposant à un voyage long et à de multiples contrôles, notamment sanitaires ; si la quarantaine frappant les voyageurs en provenance de ce pays a été levée avant son arrivée, elle avait accepté de venir malgré cette éventualité et donc de demeurer strictement confinée pendant tout son séjour. Sa venue à Genève ne lui a apporté aucun bénéfice secondaire : elle y a vécu chichement (en ne recevant que CHF 50.- par jour pour sa subsistance et en logeant dans un hôtel à moins de CHF 100.- par nuit) et a exposé à quel point ce déplacement lui pesait. On ne voit pas pourquoi elle s’exposerait à de telles difficultés si ce n’était pour se faire entendre et faire valoir sa version des faits ; il est inconcevable qu’une telle détermination soit liée à un propos inventé. Sa déclaration empreinte d’émotion devant la Cour de céans a confirmé la sincérité de ses dires. Les quelques contradictions, notamment quant au déroulement</w:t>
      </w:r>
    </w:p>
    <w:p>
      <w:r>
        <w:t>- 14/23 - P/24432/2017 chronologique des faits, entre ses diverses déclarations n’en diminuent pas la force probante, dans la mesure où il est normal que l’écoulement du temps affecte la mémoire et la précision du témoignage. La version de la plaignante est de plus corroborée à la fois par les déclarations des témoins, par la présence de l’ADN de l’appelant sur le préservatif retrouvé sur place (élément qui soutient toutefois autant la thèse de l’appelant que celle de la plaignante) et, surtout, sur le vibromasseur saisi dans la chambre ainsi que par la durée de la présence de l’appelant dans la chambre de la plaignante, établie par la vidéosurveillance. La crédibilité de la plaignante est également attestée par la similitude du mode opératoire de l’appelant par rapport aux faits décrits par F______ et, dans une moindre mesure, par G______ (exigence d’une fellation sans préservatif et réaction violente face au refus ; extinction systématique de la lumière ; contrainte pour obtenir un massage et rester en sa compagnie après les actes). Il n’existe aucune raison plausible que la plaignante dénonce de tels faits s’ils ne s’étaient pas produits, étant relevé qu’elle venait d’arriver à Genève pour y exercer la prostitution et que ces événements ont mis un terme abrupt à cette activité, puisqu’elle a quitté le canton immédiatement après les faits pour ne plus y revenir, mettant ainsi un terme à ses velléités d’y exercer une activité lucrative. Elle n’aurait d’ailleurs pas eu de motif de dénoncer un client à la suite d’un rapport sexuel normal entrant dans son activité usuelle. Ce n’est pas non plus la nature des actes décrits par l’appelant – une relation sexuelle ou une fellation, protégées, entrant selon ses déclarations clairement dans son activité – qui pourrait expliquer un dépôt de plainte. Celui-ci s’explique bien plutôt par sa version des faits, soit l’obtention par la force de prestations non consenties et violentes. L’absence de lésions à teneur du constat médico-légal est un élément neutre, dans la mesure où la région génitale est notoirement souple et que la plaignante expose s’être pliée, sous la menace, aux exigences de l’appelant sans lui opposer de résistance physique. Les difficultés de langue n’ont manifestement pas empêché l’appelant et la partie plaignante d’échanger au sujet de prestations sexuelles dans la rue ; elles n’étaient manifestement pas telles qu’elles puissent faire passer les faits pour un malentendu linguistique. De plus, les déclarations de la partie plaignante ont été émaillées de gestes et de descriptions illustrant que l’appelant avait su se faire comprendre sans ambiguïté par gestes, et qu’elle avait tout autant exprimé sa peur et son refus en des termes et gestes universellement compréhensibles. L’appelant ne peut rien tirer non plus de l’expertise psychiatrique, comme l’a d’ailleurs souligné le Tribunal fédéral dans son arrêt de renvoi. En effet, cette expertise portait sur sa responsabilité pénale ; la commission des actes reprochés ne nécessite, contrairement à ce qu’il semble soutenir, aucun profil psychiatrique</w:t>
      </w:r>
    </w:p>
    <w:p>
      <w:r>
        <w:t>- 15/23 - P/24432/2017 particulier, la notion même de « pervers » n’étant ni juridique, ni scientifique et ne figurant au surplus nullement dans le texte légal. La Cour retient ainsi que l’appelant a initialement contraint la plaignante, sous la menace d’un couteau, à lui prodiguer une fellation sans préservatif, qu’il a ensuite introduit de force un vibromasseur dans son anus, l’a pénétrée vaginalement avec ledit vibromasseur puis avec son sexe, puis l’a pénétrée avec son sexe analement et à nouveau vaginalement. Ces faits sont constitutifs de viol (art. 190 CP) et de contrainte sexuelle (art. 189 CP) ; en effet, au vu de l’enchaînement des violences, il ne peut pas être retenu que la fellation et les pénétrations anales n’étaient que de simples préliminaires au viol : il s’agissait bien au contraire d’actes visant en eux- mêmes à la satisfaction des pulsions sexuelles de l’appelant. L’appelant a manifestement outrepassé la contrainte nécessaire pour satisfaire sa pulsion sexuelle, en menaçant constamment sa victime au moyen d’un couteau, dont il s’est servi en lui faisant craindre des lésions graves, et en la contraignant à demeurer en sa compagnie plus d’une heure. Cet objet est un objet dangereux au sens de l’art. 189 al. 3 CP. Contrairement à ce que soutient l’appelant, la victime a été claire et constante dans ses propos relatifs à cette arme, qu’elle a décrite puis esquissée lors de son audition à la police et à nouveau au MP puis à la Cour. Elle est également claire et cohérente lorsqu’elle explique la manière dont l’appelant s’est servi de cet objet pour la menacer et la garder sous son emprise. De même, le fait qu’elle utilise le terme « couper » dans sa première déclaration puis l’associe au mot « poignarder » devant la CPAR pour décrire les menaces proférées par l’appelant au moyen du couteau, outre qu’il ne peut être exclu que ces nuances tiennent à des difficultés de traduction, n’entachent nullement sa crédibilité dans la mesure où elle a clairement mimé les deux actions, et qu’un témoin a également fait état qu’elle lui avait rapporté sa crainte d’être poignardée (C-119). Le fait que le couteau utilisé n’ait pas été retrouvé lors de la perquisition effectuée lors de l’interpellation de l’appelant est sans pertinence. En effet, cette perquisition est intervenue dans un foyer temporaire et non à la résidence usuelle de l’appelant (qui était sans domicile fixe). Il est douteux que l’appelant aurait été admis dans un tel endroit (et s’y serait présenté) en possession d’une arme blanche ; en tout état de cause, la perquisition a eu lieu deux jours après les faits et l’appelant a pu, pendant ce laps de temps, se débarrasser du couteau ou le cacher en un lieu sûr, voire le perdre ou l’égarer. Les motivations de l’appelant, qui a toujours contesté toute violence, demeurent obscures ; cela étant, dans la mesure où la CPAR retient la version de la victime, cela signifie qu’il a agi en escomptant échapper aux poursuites, voire en tablant sur une absence de conséquences, étant rappelé que la première victime n’avait initialement pas déposé de plainte.</w:t>
      </w:r>
    </w:p>
    <w:p>
      <w:r>
        <w:t>- 16/23 - P/24432/2017 L’aggravante de la cruauté est ainsi réalisée par l’utilisation du couteau, avec lequel l’appelant n’a cessé de menacer sa victime, lui faisant craindre pour sa vie et obtenant sa soumission complète : l’aggravante est réalisée tant pour le viol que pour la contrainte sexuelle. Enfin, le vol, dans ces circonstances, du téléphone et de l’argent de la plaignante est constitutif de brigandage. Les déclarations de la plaignante à ce sujet sont crédibles et dignes de foi, même s’il est regrettable qu’aucune recherche technique n’ait été entreprise pour localiser le téléphone volé.</w:t>
      </w:r>
    </w:p>
    <w:p>
      <w:r>
        <w:rPr>
          <w:b/>
        </w:rPr>
        <w:t>E. 3</w:t>
      </w:r>
    </w:p>
    <w:p>
      <w:r>
        <w:t>3.1.1. Le viol et la contrainte sexuelle aggravés (art. 189 al. 1 et 3 et art. 190 al. 1 et 3 CP) sont passibles d'une peine privative de liberté d’au moins trois ans et pouvant aller jusqu'à 20 ans (art. 40 CP). Le brigandage simple (art. 140 ch. 1 CP) est passible d’une peine privative de liberté de six mois au moins et de dix ans au plus ; la séquestration (art. 183 CP) est passible d’une peine privative de liberté de cinq ans au plus ou d’une peine pécuniaire. Les infractions de contrainte (art. 181 CP) et de rupture de ban (art. 291 CP) sont passibles d'une peine privative de liberté de trois ans au plus ou d'une peine pécuniaire. Enfin la contravention à l’art. 19a LStup est passible d’une amende. Compte tenu de la situation personnelle de l’appelant, qui est dépourvu de toute ressource, et de son antécédent, une peine pécuniaire n’entre pas en ligne de compte, même pour les infractions pour lesquelles une telle peine serait théoriquement possible. La non-révocation du sursis accordé le 20 mars 2017 est acquise à l’appelant.</w:t>
      </w:r>
    </w:p>
    <w:p>
      <w:r>
        <w:t>3.1.2. Il sera fait application du droit en vigueur jusqu'au 31 décembre 2017, les actes reprochés à l'intimé ayant été commis sous l'empire de ce droit, et le nouveau droit des sanctions, qui marque globalement un durcissement, ne lui apparaissant pas plus favorable (art. 2 CP ; M. DUPUIS / L. MOREILLON / C. PIGUET / S. BERGER / M. MAZOU / V. RODIGARI [éds], Code pénal - Petit commentaire, 2ème éd., Bâle 2017, n. 6 ad art. 34 à 41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- 17/23 - P/24432/2017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3.3</w:t>
      </w:r>
    </w:p>
    <w:p>
      <w:r>
        <w:t>La faute de l’appelant est très lourde. Il s'en est pris à de nombreux et précieux biens juridiques, soit principalement à l'intégrité sexuelle, à la liberté et au patrimoine de ses victimes qu’il a traitées avec violence et mépris et qui se sont vues mourir au cours de ses agissements. Il s’est affranchi des règles pour demeurer en Suisse alors qu’il s’était engagé à quitter ce pays dans le cadre de la procédure administrative visant à la mise en œuvre de l’expulsion prononcée à son encontre et a consommé du cannabis. Son activité délictueuse a été soutenue, puisqu’il est sorti d’un établissement de détention administrative à la fin du mois d’octobre 2017 et a commis ses premiers actes quelques jours plus tard, agissant avec grande violence à l’égard de ses victimes à deux reprises dans le mois suivant cette remise en liberté. Il a agi au mépris le plus total d'autrui, n'hésitant pas à terroriser ses victimes pour satisfaire ses pulsions sexuelles et à dépouiller une victime de ses économies. Sa situation personnelle ne justifiait en rien les actes commis. Selon ses propres déclarations, il est sorti de détention en possession d’un pécule qui lui aurait permis de respecter la mesure d’expulsion, de quitter la Suisse et de prendre un nouveau</w:t>
      </w:r>
    </w:p>
    <w:p>
      <w:r>
        <w:t>- 18/23 - P/24432/2017 départ. Il dispose d’une famille dans son pays qu’il aurait pu aisément rejoindre, n’ayant strictement aucune raison de rester à Genève où il n’a ni lien, ni connaissance, ni aucune perspective. Sa collaboration à l'enquête a été mauvaise, l’appelant niant les faits essentiels et s’enfermant pour le surplus dans une attitude de déni en faisant valoir un problème de communication (alors qu’il a démontré devant la Cour de céans une certaine maîtrise du français, possiblement acquise au fil de ses détentions successives). Il n’a fait montre d’aucune prise de conscience. Il y a concours d'infractions et le prévenu présente un antécédent de vol et de violence ou menace contre les autorités et les fonctionnaires, qui est spécifique dans la mesure où il s’agit déjà d’infractions contre le patrimoine, l’intégrité physique et l’autorité publique. Cette condamnation ne l'a visiblement pas dissuadé de commettre de nouvelles infractions très rapidement. Il n'est pas contesté que la responsabilité pénale de l'intimé fut entière et qu'aucune circonstance atténuante au sens de l'art. 48 CP n'est réalisée. L’appelant est reconnu coupable de trois infractions passibles chacune d’une peine plancher de trois ans (un viol avec cruauté et deux contraintes sexuelles avec cruauté). Cette simple constatation permet déjà de considérer que la peine d’ensemble de sept ans prononcée par les premiers juges apparaît une application modérée des règles du concours. L'infraction la plus grave est la dernière ; le viol et la contrainte sexuelle commis avec cruauté le 24 novembre 2017 emportent, à eux seuls, le prononcé d'une peine privative de liberté de base de l'ordre de quatre ans au moins. Cette peine doit être aggravée pour tenir compte du brigandage commis simultanément (peine théorique de six mois), de la contrainte sexuelle aggravée commise dans la nuit du 7 au</w:t>
      </w:r>
    </w:p>
    <w:p>
      <w:r>
        <w:rPr>
          <w:b/>
        </w:rPr>
        <w:t>E. 8</w:t>
      </w:r>
    </w:p>
    <w:p>
      <w:r>
        <w:t>Le Tribunal fédéral ayant annulé l’arrêt du 16 janvier 2020, les autres points du dispositif de cette décision seront repris dans le dispositif du présent arrêt. * * * * *</w:t>
      </w:r>
    </w:p>
    <w:p>
      <w:r>
        <w:t>- 20/23 - P/24432/2017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