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AARP/122/2014 vom 26. November 2013</w:t>
      </w:r>
    </w:p>
    <w:p>
      <w:r>
        <w:t>GE Cour de justice, 2013-11-26, FR</w:t>
      </w:r>
    </w:p>
    <w:p>
      <w:r>
        <w:rPr>
          <w:b/>
        </w:rPr>
        <w:t xml:space="preserve">Quelle: </w:t>
      </w:r>
      <w:r>
        <w:t>https://mcp.opencaselaw.ch/entscheid/ge_gerichte_AARP_122_2014</w:t>
      </w:r>
    </w:p>
    <w:p>
      <w:r>
        <w:t>FR: GE_GERICHTE AARP/122/2014 du 26 novembre 2013</w:t>
      </w:r>
    </w:p>
    <w:p>
      <w:r>
        <w:t>IT: GE_GERICHTE AARP/122/2014 del 26 novembre 2013</w:t>
      </w:r>
    </w:p>
    <w:p>
      <w:pPr>
        <w:pStyle w:val="Heading2"/>
      </w:pPr>
      <w:r>
        <w:t>Erwägungen</w:t>
      </w:r>
    </w:p>
    <w:p>
      <w:r>
        <w:rPr>
          <w:b/>
        </w:rPr>
        <w:t>E. 1</w:t>
      </w:r>
    </w:p>
    <w:p>
      <w:r>
        <w:t>La CPAR est l'autorité compétente en matière de révision à compter du 1er janvier 2011 (art. 21 al. 1 let. b CPP cum art. 130 al. 1 let. a de la loi d'organisation judiciaire [LOJ ; E 2 05]). La demande de révision a été transmise par le Ministère public pour raison de compétence à la CPAR le 14 janvier 2014 en application de l'art. 411 al. 1 et 2 dernière phrase CPP.</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w:t>
      </w:r>
    </w:p>
    <w:p>
      <w:r>
        <w:t>- 4/7 - PS/1/2014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w:t>
      </w:r>
    </w:p>
    <w:p>
      <w:r>
        <w:rPr>
          <w:b/>
        </w:rPr>
        <w:t>E. 2.2</w:t>
      </w:r>
    </w:p>
    <w:p>
      <w:r>
        <w:t>Aux termes de l'art. 412 al. 1 et 2 CPP, la juridiction d'appel examine préalablement la demande de révision en procédure écrite. Elle n'entre pas en matière si la demande est manifestement irrecevable.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w:t>
      </w:r>
    </w:p>
    <w:p>
      <w:r>
        <w:t>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Zurich 2009, n. 1 ad art. 412 CPP ; A. KUHN / Y. JEANNERET (éd.), Commentaire romand : Code de procédure pénale suisse,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2.3</w:t>
      </w:r>
    </w:p>
    <w:p>
      <w:r>
        <w:t>En l'espèce, le requérant produit son nouveau permis de conduire sous format carte de crédit lequel fait état de son droit de conduire un motocycle A1 depuis le 13 juin 2003. Cette pièce nouvellement produite ne permet toutefois pas de conclure à un res nova. En effet, il ressort du dossier du Ministère public que le requérant lui avait remis un document de la Sous-préfecture de Saint-Julien en Genevois daté du 2 août 2013 faisant état de son droit de conduire un motocycle depuis le 13 juin 2003. S'il est</w:t>
      </w:r>
    </w:p>
    <w:p>
      <w:r>
        <w:t>- 5/7 - PS/1/2014 certes regrettable que le Ministère public n'ait pas pris en compte cette pièce dans l'analyse des faits pertinents, la production de son nouveau permis de conduire ne constitue toutefois pas un res nova.</w:t>
      </w:r>
    </w:p>
    <w:p>
      <w:r>
        <w:t>En tout état, il aurait appartenu au requérant de faire opposition à l'ordonnance pénale notifiée le 27 août 2013 dans le délai de l'art. 354 CPP, quitte à ne présenter que plus tard devant le Tribunal de police les pièces justificatives qu'il s'employait à rassembler. Il aurait ainsi pu faire valoir ses arguments devant l'autorité compétente, motiver un acquittement sur ce point et sur la problématique du prétendu défaut de permis de conduire puis conclure à une peine moins sévère. N'ayant pas agi par cette voie, le requérant ne peut sous le couvert d'une requête en révision se prévaloir d'un fait nouveau.</w:t>
      </w:r>
    </w:p>
    <w:p>
      <w:r>
        <w:t>Au vu de ce qui précède, la demande de révision doit être déclarée irrecevable, en application de l'art. 412 al. 2 CPP.</w:t>
      </w:r>
    </w:p>
    <w:p>
      <w:r>
        <w:rPr>
          <w:b/>
        </w:rPr>
        <w:t>E. 3</w:t>
      </w:r>
    </w:p>
    <w:p>
      <w:r>
        <w:t>Le requérant, qui succombe, supportera les frais de la procédure envers l'État (art. 428 al. 1 CPP a contrario), lesquels comprennent une indemnité de CHF 500.– (art. 14 al. 1 let. e du règlement fixant le tarif des frais en matière pénale, E 4 10.03). * * * * *</w:t>
      </w:r>
    </w:p>
    <w:p>
      <w:r>
        <w:t>- 6/7 - PS/1/2014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