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AARP/120/2014 vom 11. März 2014</w:t>
      </w:r>
    </w:p>
    <w:p>
      <w:r>
        <w:t>GE Cour de justice, 2014-03-11, FR</w:t>
      </w:r>
    </w:p>
    <w:p>
      <w:r>
        <w:rPr>
          <w:b/>
        </w:rPr>
        <w:t xml:space="preserve">Quelle: </w:t>
      </w:r>
      <w:r>
        <w:t>https://mcp.opencaselaw.ch/entscheid/ge_gerichte_AARP_120_2014</w:t>
      </w:r>
    </w:p>
    <w:p>
      <w:r>
        <w:t>FR: GE_GERICHTE AARP/120/2014 du 11 mars 2014</w:t>
      </w:r>
    </w:p>
    <w:p>
      <w:r>
        <w:t>IT: GE_GERICHTE AARP/120/2014 del 11 marzo 2014</w:t>
      </w:r>
    </w:p>
    <w:p>
      <w:pPr>
        <w:pStyle w:val="Heading2"/>
      </w:pPr>
      <w:r>
        <w:t>Erwägungen</w:t>
      </w:r>
    </w:p>
    <w:p>
      <w:r>
        <w:rPr>
          <w:b/>
        </w:rPr>
        <w:t>E. 1.1</w:t>
      </w:r>
    </w:p>
    <w:p>
      <w:r>
        <w:t>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w:t>
      </w:r>
    </w:p>
    <w:p>
      <w:r>
        <w:t>- 4/7 - PM/106/2014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Si un pronostic défavorable doit être émis pour le cas où le recourant resterait en Suisse, il est admissible qu'il reste détenu sans bénéficier de la libération conditionnelle, si son expulsion ne peut être exécutée avant le terme de sa peine (arrêt</w:t>
      </w:r>
    </w:p>
    <w:p>
      <w:r>
        <w:t>- 5/7 - PM/106/2014 du TF du 30 mai 2006, dans la cause 6a.34/2006, rendu sous l'empire du l'ancien art. 38 CP).</w:t>
      </w:r>
    </w:p>
    <w:p>
      <w:r>
        <w:rPr>
          <w:b/>
        </w:rPr>
        <w:t>E. 2.2</w:t>
      </w:r>
    </w:p>
    <w:p>
      <w:r>
        <w:t>Le préavis positif de la direction de la prison de Champ-Dollon constitue un élément favorable qui ne saurait à lui seul conduire à l’octroi d’une libération conditionnelle.</w:t>
      </w:r>
    </w:p>
    <w:p>
      <w:r>
        <w:t>En effet, après les deux précédentes libérations conditionnelles qui lui ont accordées, l'appelant a immédiatement commis de nouvelles infractions, manifestant de la sorte un profond mépris des décisions de justice, démontrant sa difficulté à se conformer à ses engagements et trompant la confiance que les autorités compétentes lui avaient accordée en 2011. Le risque concret de récidive est ainsi réalisé, et renforcé par l'absence totale de moyens de subsistance et de documents d'identité de l'appelant, rendant difficile son renvoi.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500.- (art. 14 al. 1 let. e du Règlement fixant le tarif des frais en matière pénale [RTFMP ; E 4 10.03]). * * * * *</w:t>
      </w:r>
    </w:p>
    <w:p>
      <w:r>
        <w:t>- 6/7 - PM/106/2014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