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AARP/11/2017 vom 13. Januar 2017</w:t>
      </w:r>
    </w:p>
    <w:p>
      <w:r>
        <w:t>GE Cour de justice, 2017-01-13, FR</w:t>
      </w:r>
    </w:p>
    <w:p>
      <w:r>
        <w:rPr>
          <w:b/>
        </w:rPr>
        <w:t xml:space="preserve">Quelle: </w:t>
      </w:r>
      <w:r>
        <w:t>https://mcp.opencaselaw.ch/entscheid/ge_gerichte_AARP_11_2017</w:t>
      </w:r>
    </w:p>
    <w:p>
      <w:r>
        <w:t>FR: GE_GERICHTE AARP/11/2017 du 13 janvier 2017</w:t>
      </w:r>
    </w:p>
    <w:p>
      <w:r>
        <w:t>IT: GE_GERICHTE AARP/11/2017 del 13 gennaio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Selon l'art. 90 al. 2 LCR, celui qui, par une violation grave d'une règle de la circulation, crée un sérieux danger pour la sécurité d'autrui ou en prend le risque est puni d'une peine privative de liberté de trois ans au plus ou d'une peine pécuniaire, celle-ci pouvant aller jusqu'à 360 jours-amende. 2.1.2. Selon l'art. 47 du code pénal suisse du 21 décembre 1937 (CP ; RS 311.0), le juge fixe la peine d'après la culpabilité de l'auteur.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t>- 5/10 - P/20916/2015 2.2.1. Conformément à l'art. 34 CP, la fixation de la peine pécuniaire intervient en deux phases. Le tribunal détermine d'abord le nombre de jours-amende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tribunal doit ensuite arrêter le montant du jour-amende. 2.2.2. Le juge suspend en règle générale l'exécution d'une peine pécuniaire lorsqu'une peine ferme ne paraît pas nécessaire pour détourner l'auteur d'autres crimes ou délits (art. 42 al. 1 CP). Le juge peut prononcer, en plus du sursis, une peine pécuniaire sans sursis ou une amende selon l'art. 106 CP (art. 42 al. 4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(ATF 134 IV 60 consid. 7.3.1 p. 75). Le juge fixe le montant de l'amende et la quotité de la peine privative de liberté de substitution en tenant compte de la situation de l'auteur, afin que la peine corresponde à la faute commise (art. 106 al. 3 CPP). En cas de peines combinées au sens de l'art. 42 al. 4 CP, l'amende ne peut pas conduire à une aggravation de la peine ou au prononcé d'une sanction supplémentaire. Les deux sanctions considérées ensemble doivent correspondre à la gravité de la faute (ATF 134 IV 53 consid. 5.2 p.55 s. ; arrêt du Tribunal fédéral 6B_61/2010 du 27 juillet 2010 consid. 5.2). Il se justifie en principe de limiter le montant de l'amende à 20% de la valeur économique de la peine principale, mais des exceptions sont possibles, afin d'éviter que la peine cumulée n'ait qu'une valeur symbolique (ATF 135 IV 188 consid. 3.4.4). 2.3.1.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arrêts cités ; cf. aussi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w:t>
      </w:r>
    </w:p>
    <w:p>
      <w:r>
        <w:t>- 6/10 - P/20916/2015 invoqués et des cas déjà examinés par la jurisprudence, que l'on peut parler d'un abus du pouvoir d'appréciation (ATF 141 IV 61 consid. 6.3.2 p. 69 ; ATF 123 IV 150 consid. 2a p. 152 s. ; arrêts du Tribunal fédéral 6B_794/2015 du 15 août 2016 consid. 1.1 et 6B_334/2009 du 20 juillet 2009 consid. 2.3.1). Dans le domaine des excès de vitesse, la jurisprudence, afin d'assurer l'égalité de traitement, a été amenée à fixer des règles précises. Ainsi, le cas est objectivement grave, c'est-à-dire sans égard aux circonstances concrètes, notamment en cas de dépassement de la vitesse autorisée de 35 km/h ou plus sur les autoroutes (ATF 132 II 234 consid. 3.1 p. 237 s. ; ATF 124 II 259 consid. 2b p. 261 ss). L'importance de la mise en danger et celle de la faute doivent néanmoins être appréciées au regard des circonstances du cas concret afin de fixer la sanction (cf. art. 47 CP ; arrêts du Tribunal fédéral 6B_580/2015 du 18 avril 2016 consid. 1.3 et 6B_264/2007 du 19 septembre 2007 consid. 3.1). Dans ce domaine également, il ne saurait être question, pour le juge du fond, de renoncer à appliquer l'ensemble des critères de l'art. 47 CP (AARP/264/2016 du 28 juin 2016 consid. 2.3). 2.3.2. Dans des situations récentes très similaires (dépassements de 45, 49 et 45 km/h sur le même tronçon que présentement, dans des conditions de circulation favorables), dont celle évoquée par le MP, la CPAR a confirmé ou prononcé des peines pécuniaires de 60, 150 et encore 150 jours-amende (dans ce dernier cas au lieu de 60 selon le jugement du Tribunal de police), avec sursis, mais toutes accompagnées d'une amende au titre de sanction immédiate (AARP/508/2016 du</w:t>
      </w:r>
    </w:p>
    <w:p>
      <w:r>
        <w:rPr>
          <w:b/>
        </w:rPr>
        <w:t>E. 7</w:t>
      </w:r>
    </w:p>
    <w:p>
      <w:r>
        <w:t>décembre 2012 et ARRP/481/2016 du 1er décembre 2016 ; AARP/335/2016 du 24 août 2016). 2.4.1. Ainsi que la CPAR a déjà eu l'occasion de le retenir dans les affaires sus- évoquées, celui qui, sur un tronçon d'autoroute rectiligne, hors heure de pointe, par bonne visibilité, commet un excès de 40 km/heures ou un peu plus à un endroit où la vitesse est réduite à 40 km/h heures en raison de la proximité d'un poste de douane créé certes une mise en danger mais, dans cette configuration, abstraite. Pour autant, sauf circonstances particulières, inexistantes en l'espèce, la faute doit être qualifiée de grave, vu l'importance du dépassement et du risque abstraitement créé. En l'occurrence, l'excès de vitesse est important mais il l'est moins que dans les cas sus-évoqués. Si l'intimé a collaboré, dans la mesure où il n'a pas contesté les faits – au demeurant guère contestables vu les éléments à charge –, il reste qu'il a initialement nié l'illicéité de son comportement et que ce n'est qu'à la clôture des débats de première instance qu'il a évoqué des regrets, attribuant sa faute à une inattention liée à un retour tardif après une longue journée de travail. Cette dernière explication n'est guère rassurante,</w:t>
      </w:r>
    </w:p>
    <w:p>
      <w:r>
        <w:t>- 7/10 - P/20916/2015 la fatigue ou la lassitude devant plutôt inciter à la prudence. La prise de conscience n'est ainsi pas parfaite. Compte tenu de ces éléments, la CPAR estime qu'une peine pécuniaire de 40 jours- amende, pour autant qu'elle soit assortie d'une amende (cf. infra), tient adéquatement compte de la faute commise et présente le mérite d'être cohérente avec les jurisprudences précitées, dans le respect du principe d'égalité de traitement. Le MP doit en effet être partiellement suivi, en ce qu'il soutient que le prononcé d'une sanction immédiate, sous la forme d'une amende s'imposait. Certes, l'intimé n'a pas d'antécédents, mais, comme déjà évoqué, la prise de conscience n'est pas complète. Il faut donc effectivement donner un signal concret, afin que l'intéressé ne banalise pas la gravité de son comportement. Vu la situation financière favorable de l'intimé, lequel n'a d'ailleurs pas critiqué la valeur du jour-amende par CHF 210.-, et la jurisprudence sur le rapport entre peine assortie du sursis et sanction immédiate, le montant de l'amende sera arrêté à CHF 2'500.- (arrondi) et la peine de substitution à</w:t>
      </w:r>
    </w:p>
    <w:p>
      <w:r>
        <w:rPr>
          <w:b/>
        </w:rPr>
        <w:t>E. 12</w:t>
      </w:r>
    </w:p>
    <w:p>
      <w:r>
        <w:t>jours. L'appel est ainsi partiellement admis et le jugement annulé, dans la mesure qui précède. 3. L'appel du MP n'aboutit que partiellement. Il convient partant de laisser à la charge de l'Etat et de mettre à celle de l'intimé, chacun pour moitié, les frais de la procédure d'appel, comprenant un émolument d'arrêt de CHF 1'000.- (art. 428 al. 1 CPP et art. 14 al. 1 let. e du règlement fixant le tarif des frais en matière pénale, du 22 décembre 2010 [RTFMP ; RS-GE E 4 10.03]) de même que les dépenses nécessaires facturées à l'intimé dans ce contexte, étant précisé que le montant total articulé est raisonnable (art. 436 et 429 CPP).</w:t>
      </w:r>
    </w:p>
    <w:p>
      <w:r>
        <w:t>* * * * *</w:t>
      </w:r>
    </w:p>
    <w:p>
      <w:r>
        <w:t>- 8/10 - P/20916/2015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