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AARP/118/2015 vom 25. Februar 2015</w:t>
      </w:r>
    </w:p>
    <w:p>
      <w:r>
        <w:t>GE Cour de justice, 2015-02-25, FR</w:t>
      </w:r>
    </w:p>
    <w:p>
      <w:r>
        <w:rPr>
          <w:b/>
        </w:rPr>
        <w:t xml:space="preserve">Quelle: </w:t>
      </w:r>
      <w:r>
        <w:t>https://mcp.opencaselaw.ch/entscheid/ge_gerichte_AARP_118_2015</w:t>
      </w:r>
    </w:p>
    <w:p>
      <w:r>
        <w:t>FR: GE_GERICHTE AARP/118/2015 du 25 février 2015</w:t>
      </w:r>
    </w:p>
    <w:p>
      <w:r>
        <w:t>IT: GE_GERICHTE AARP/118/2015 del 25 febbraio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A______ et B______ concluent à leur acquittement. D______ conclut à leur condamnation pour tentative d'extorsion et de chantage, qualification juridique retenue par le Ministère public dans ses ordonnances pénales du 16 septembre 2013, valant actes d'accusation.</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w:t>
      </w:r>
    </w:p>
    <w:p>
      <w:r>
        <w:t>- 11/26 - P/9784/2012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w:t>
      </w:r>
    </w:p>
    <w:p>
      <w:r>
        <w:t>- 12/26 - P/9784/2012 respect du droit d'être entendu (A. KUHN / Y. JEANNERET (éds), Commentaire romand : Code de procédure pénale suisse, Bâle 2011, n. 11 ad art. 344 CPP).</w:t>
      </w:r>
    </w:p>
    <w:p>
      <w:r>
        <w:rPr>
          <w:b/>
        </w:rPr>
        <w:t>E. 2.2</w:t>
      </w:r>
    </w:p>
    <w:p>
      <w:r>
        <w:t>En l'espèce les parties, de par la teneur des ordonnances pénales valant actes d'accusation, ainsi que de par l'interpellation du Tribunal de police à l'ouverture des débats, ont pu se déterminer s'agissant de qualifier les faits retenus à l'encontre des prévenus, tant en tentative d'extorsion ou de chantage, qu'en tentative de contrainte, et partant exercer leur droit d'être entendues. Par conséquent, la CPAR peut entrer en matière sur les conclusions de l'appel de D______.</w:t>
      </w:r>
    </w:p>
    <w:p>
      <w:r>
        <w:rPr>
          <w:b/>
        </w:rPr>
        <w:t>E. 3.1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3.2</w:t>
      </w:r>
    </w:p>
    <w:p>
      <w:r>
        <w:t>Se rend coupable d'extorsion et chantage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subjectif, l'art. 156 CP suppose, outre l'élément intentionnel qui peut revêtir la forme du dol éventuel, un dessein d'enrichissement illégitime chez l'auteur, qui fait défaut s'il est titulaire d'une créance à l'égard de la personne visée ou croit l'être. Dans ce cas, seule la contrainte entre en ligne de compte (M. DUPUIS / B. GELLER / G. MONNIER / L. MOREILLON / C. PIGUET /</w:t>
      </w:r>
    </w:p>
    <w:p>
      <w:r>
        <w:t>- 13/26 - P/9784/2012 C. BETTEX / D. STOLL (éds), Code pénal - Petit commentaire, Bâle 2012, ad art. 156 nos 18 et 19, 26 et les références citées).</w:t>
      </w:r>
    </w:p>
    <w:p>
      <w:r>
        <w:rPr>
          <w:b/>
        </w:rPr>
        <w:t>E. 3.3</w:t>
      </w:r>
    </w:p>
    <w:p>
      <w:r>
        <w:t>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122 IV 322 consid. 1a p. 324 s. ;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ATF 134 IV 216 consid. 4.2 p. 219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w:t>
      </w:r>
    </w:p>
    <w:p>
      <w:r>
        <w:t>- 14/26 - P/9784/2012</w:t>
      </w:r>
    </w:p>
    <w:p>
      <w:r>
        <w:rPr>
          <w:b/>
        </w:rPr>
        <w:t>E. 3.4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 3.5.1. In casu, comme retenu à juste titre par le juge de première instance, il manquait à A______ et B______ le dessein d'enrichissement illégitime du moment que le couple formé par A______ et C______ estimait avoir une créance d'à tout le moins, hors honoraires du détective privé, CHF 7'600.- à l'encontre de D______, du fait de leurs rapports professionnels passés, ce qui avait été rapporté à B______. L'absence de cette condition exclut une condamnation de A______ et de B______ pour tentative d'extorsion et chantage. 3.5.2. Au moment des faits dénoncés par la plaignante, il est établi qu'un contentieux l'opposait devant le Tribunal des prud'hommes aux époux A______ et C______, pour une valeur litigieuse de CHF 5'020,40 au terme de sa demande en paiement, et de CHF 7'600.- pour la demande reconventionnelle déposée par ceux-là. Il ressort également des éléments du dossier, en particulier de leurs déclarations, que A______ a mandaté B______, détective privé, pour effectuer une enquête et établir un rapport devant mettre en lumière, après la fin des liens contractuels liant les époux A______ et C______ à la partie plaignante, le fait qu'elle travaillerait "au noir", ce qu'elle avait aussi bien pu faire pendant l'activité déployée pour eux, durant les vacances et jours fériés et exclure qu'elle puisse avoir à leur encontre des prétentions de ce chef. Il n'est ensuite pas remis en doute que l'existence de ce litige de nature civile ait pu être cause de souci et de stress tant chez l'appelante principale que la partie plaignante, au point que la première ait été amenée à solliciter le détective privé pour tenter une médiation. Il ressort de la procédure que c'est ensuite un véritable piège que l'appelant principal a tendu à la partie plaignante pour parvenir à ses fins : en lui présentant des photos prises à son insu, en faisant au préalable intervenir une tierce personne, qui lui a</w:t>
      </w:r>
    </w:p>
    <w:p>
      <w:r>
        <w:t>- 15/26 - P/9784/2012 menti pour obtenir de sa part, la sachant au chômage, un CV modifié et contenant une activité qu'elle était censée avoir dans le salon où elle avait donné rendez-vous à cette personne pour une manucure alors que tel n'était apparemment pas le cas, et enfin, en prenant rendez-vous avec elle, en se présentant comme un potentiel employeur, alors qu'il n'en était rien. Quand la partie plaignante s'est rendue au rendez-vous, toutes les chances avaient été mises du côté du détective privé pour qu'elle soit amenée à faire des concessions qu'elle n'aurait pas faites en d'autres circonstances. Elle a été surprise en apprenant qu'elle se trouvait en fait face à un détective privé, en possession à tout le moins de photos d'elle, et surtout du CV modifié qu'elle avait remis à une tierce personne dont elle comprenait alors qu'elle était de mèche avec le détective et son ancien employeur. C'est dans ce contexte que le détective lui a proposé de signer une reconnaissance de dette initialement au montant de CHF 10'000.-, pour mettre fin à son litige avec les époux A______ et C______. Peu importe à cet égard qu'un document comportant ce montant ou non ait effectivement été soumis à la plaignante, toutes les parties s'accordant à dire que les pourparlers ont commencé avec ce montant et qu'il ait effectivement été question pour la partie plaignante de la signature d'un tel document. Ce montant ne trouvait aucune correspondance dans les valeurs litigieuses exposées alors par les deux parties devant les Prud'hommes, la partie plaignante, dans le pire des cas, pouvant être condamnée à payer CHF 7'600.- à ses anciens employeurs. Il n'y avait par ailleurs aucune raison qu'elle participe sans autre au paiement des honoraires du détective privé. Ce nonobstant, et le sachant pertinemment, c'est bien un montant de CHF 10'000.- que les appelants principaux ont cherché initialement à obtenir de la partie plaignante, par la signature d'une reconnaissance de dette de ce montant, à laquelle devait s'ajouter la signature d'un document indiquant qu'elle avait menti dans le cadre de la procédure prud'homale. Il n'y a pas lieu de remettre en cause ses déclarations à cet égard, lesquelles n'ont pas varié tout au long de l'enquête. Celle-ci ne cédant pas, sont arrivées les menaces, à savoir celle de la dénoncer à l'OCE selon la version de la plaignante, ou de lui avoir dit que les règles étaient strictes en Suisse concernant le travail "au noir", selon celle du détective et ce, alors qu'elle pouvait sérieusement craindre que dans la mise à exécution de cette menace, le CV modifié par ses soins sur incitation d'une amie du détective privé soit transmis à l'OCE. Les moyens utilisés en l'espèce par l'appelant principal étaient sans conteste disproportionnés pour atteindre le but poursuivi, rendant son comportement illicite. Les parties au procès prud'homal étaient assistées de conseils et une médiation, si réellement envisagée, devait intervenir par leur truchement. Au vu de ces circonstances, la CPAR n'a aucun doute que la partie plaignante a bien vécu comme une menace le rendez-vous avec ce détective et le fait d'être prévenue de - nouvelle - dénonciation aux autorités pour ses activités en Suisse, que ce soit à</w:t>
      </w:r>
    </w:p>
    <w:p>
      <w:r>
        <w:t>- 16/26 - P/9784/2012 l'OCE ou auprès d'autres services. Elle ne pouvait comprendre autrement la phrase du détective, muni d'un CV susceptible de lui causer tort, puisqu'alors au chômage. Si des discussions, avec intrusion de A______ par téléphone, a résulté une baisse des prétentions de celle-ci, c'est au final grâce à l'intervention d'un tiers, ami de la partie plaignante, que celle-ci a pu refuser tout arrangement - bien que tentée à un moment de renoncer à ses prétentions devant les Prud'hommes -, et d'apposer sa signature sur les documents soumis dans de telles circonstances. En l'absence de dommage, l'infraction revêt la forme de la tentative. Il y a lieu de relever que le fait que le détective n'ait pas laissé à la plaignante la reconnaissance de dette pour la soumettre à cet ami démontre, s'il le fallait encore, que celui-ci, tout comme la personne lui ayant donné mandat, savait ne pas se trouver dans son bon droit en agissant comme il l'a fait. B______ a agi pour alarmer et effrayer la partie plaignante, dans le but de l'amener à signer des documents allant à l'encontre de ses intérêts. L'élément intentionnel est ainsi réalisé. Le jugement entrepris doit partant être confirmé dans la mesure où il a reconnu B______ coupable de tentative de contrainte au sens des art. 22 al. 1 cum 181 CP. 3.5.3. Si A______ a été tenue au courant par deux appels téléphoniques du détective privé des pourparlers en cours, au fur et à mesure de leur avancement, y compris cas échéant du volet du dossier en cours auprès de l'OCE, ce qui a sans aucun doute constitué une pression supplémentaire sur la plaignante, d'autant plus que son ancien employeur a alors refusé de lui parler directement, il n'est pas établi à teneur des éléments de la procédure qu'elle aurait été mise au courant par le détective privé des éléments mis en place préalablement en vue de cet entretien et tels que susmentionnés. Il apparaît au contraire que le détective privé a pris seul l'initiative du modus operandi pour parvenir à une médiation certes souhaitée par l'appelante principale, mais pas nécessairement à n'importe quelles conditions. Le détective privé n'a jamais prétendu qu'il avait exposé en tous points son plan à sa mandante avant de passer à l'action et il ne figure pas d'éléments au dossier permettant de conclure le contraire. Il subsiste ainsi un doute devant profiter à A______ qui sera acquittée de l'infraction de tentative de contrainte. Le jugement attaqué sera modifié sur ce point.</w:t>
      </w:r>
    </w:p>
    <w:p>
      <w:r>
        <w:rPr>
          <w:b/>
        </w:rPr>
        <w:t>E. 4</w:t>
      </w:r>
    </w:p>
    <w:p>
      <w:r>
        <w:t>L'art. 181 CP réprime d'une peine privative de liberté de 3 ans au plus ou d'une peine pécuniaire l'auteur d'une contrainte.</w:t>
      </w:r>
    </w:p>
    <w:p>
      <w:r>
        <w:t>- 17/26 - P/9784/2012</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w:t>
      </w:r>
    </w:p>
    <w:p>
      <w:r>
        <w:rPr>
          <w:b/>
        </w:rPr>
        <w:t>E. 4.2</w:t>
      </w:r>
    </w:p>
    <w:p>
      <w:r>
        <w:t>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w:t>
      </w:r>
    </w:p>
    <w:p>
      <w:r>
        <w:rPr>
          <w:b/>
        </w:rPr>
        <w:t>E. 4.3</w:t>
      </w:r>
    </w:p>
    <w:p>
      <w:r>
        <w:t>Un jour-amende est de CHF 3'000.- au plus. Le juge en arrête le montant selon la situation personnelle et économique de l'auteur au moment du jugement, notamment en tenant compte de son revenu et de sa fortune, de son mode de vie, de ses</w:t>
      </w:r>
    </w:p>
    <w:p>
      <w:r>
        <w:t>- 18/26 - P/9784/2012 obligations d'assistance, en particulier familiales, et du minimum vital (art. 34 al. 2 CP).</w:t>
      </w:r>
    </w:p>
    <w:p>
      <w:r>
        <w:rPr>
          <w:b/>
        </w:rPr>
        <w:t>E. 4.4</w:t>
      </w:r>
    </w:p>
    <w:p>
      <w:r>
        <w:t>Comme retenu à juste titre par le premier juge, la faute de B______ est loin d'être négligeable. Il n'a pas hésité à faire pression sur la plaignante en utilisant sa situation professionnelle précaire telle qu'elle lui était connue. Il a usé de subterfuges pour asseoir sa menace et parvenir à ses fins. La mission de médiation qu'il avait proposée aux époux A______ et C______ pour régler leur litige n'appelait pas ce genre de comportement. B______, bien que soutenant le contraire, a agi en premier lieu par appât du gain, soit les CHF 3'000.- reçus pour cette phase de son mandat, ce qui n'exclut pas qu'il ait eu de l'empathie face à la situation personnelle exposée par sa cliente et ait voulu régler ses démêlés judiciaires. En prononçant une peine pécuniaire de 90 jours-amende, le premier juge a tenu compte de l'ensemble de ces éléments. De même, le montant du jour-amende, fixé à CHF 30.-, est adapté à sa situation financière, de sorte que tant la quotité de la peine que le montant du jour-amende doivent être confirmés. La mesure de sursis prononcée, dont les conditions sont au demeurant réalisées, est acquise à l'appelant (art. 391 al. 2 CPP). Le délai d'épreuve, arrêté à 3 ans, n'est pas critiquable. Enfin, l'amende et les peines privatives de liberté de substitution, prononcées au titre de sanction immédiate, doivent également être confirmées.</w:t>
      </w:r>
    </w:p>
    <w:p>
      <w:r>
        <w:rPr>
          <w:b/>
        </w:rPr>
        <w:t>E. 5</w:t>
      </w:r>
    </w:p>
    <w:p>
      <w:r>
        <w:t>mars 2009 consid. 5.2.).</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 prozessordnung / Schweizerische Jugendstrafprozessordnung, Basler Kommentar StPO/JStPO, Bâle 2011, n. 6 ad art. 433 ; N. SCHMID, Schweizerische Straf- 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w:t>
      </w:r>
    </w:p>
    <w:p>
      <w:r>
        <w:t>- 19/26 - P/9784/2012 partie plaignante (A. KUHN / Y. JEANNERET (éds), Commentaire romand : Code de procédure pénale suisse, Bâle 2011, n. 8 ad art. 433 ; N. SCHMID, op. cit., n. 3 ad art. 433).</w:t>
      </w:r>
    </w:p>
    <w:p>
      <w:r>
        <w:rPr>
          <w:b/>
        </w:rPr>
        <w:t>E. 5.2</w:t>
      </w:r>
    </w:p>
    <w:p>
      <w:r>
        <w:t>En l'espèce, la partie plaignante obtient partiellement gain de cause dans la mesure où l'un des appelants est condamné. Si le principe d'une indemnisation doit être admis, la Cour l'arrêtera, comme retenu par le Juge de première instance pour l'activité déployée jusqu'au 2 septembre 2014, à CHF 11'900.-. En raison de l'acquittement prononcé en appel, ce montant sera réduit de moitié et mis à la charge de B______ uniquement. La note d'honoraires produite relative à la procédure d'appel, qui s'élève à CHF 3'000.-, sans mention de durée pour chaque poste, ni du taux horaire appliqué, mais pouvant correspondre à 7h30 d'activité à CHF 400.- plus TVA, semble excessive et sera ramenée, y compris la présence à l'audience, à 6h00, représentant un montant de CHF 2'400.- plus TVA. En raison de l'acquittement prononcé et du rejet de l'appel joint, seul la moitié du montant réclamé sera alloué et mis à la charge du prévenu.</w:t>
      </w:r>
    </w:p>
    <w:p>
      <w:r>
        <w:t>Le jugement de première instance sera modifié sur ce point.</w:t>
      </w:r>
    </w:p>
    <w:p>
      <w:r>
        <w:rPr>
          <w:b/>
        </w:rPr>
        <w:t>E. 6.1</w:t>
      </w:r>
    </w:p>
    <w:p>
      <w:r>
        <w:t>L'art. 429 al. 1 let. a CPP prévoit que si le prévenu est acquitté totalement ou en partie, ou s'il bénéficie d'une ordonnance de classement, il a droit à une indemnité pour les dépenses occasionnées par l'exercice raisonnable de ses droits de procédure.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w:t>
      </w:r>
    </w:p>
    <w:p>
      <w:r>
        <w:rPr>
          <w:b/>
        </w:rPr>
        <w:t>E. 6.2</w:t>
      </w:r>
    </w:p>
    <w:p>
      <w:r>
        <w:t>En l'espèce, A______ et C______ ont été acquittés des faits qui leur étaient reprochés. Le droit à une indemnisation en application de l’art. 429 al. 1 let. a CPP leur est ainsi ouvert. Il n’est pas contesté que l’assistance d’un avocat était nécessaire, compte tenu de la complexité de la procédure, en fait et en droit, ce tant en première qu'en seconde instance. Un seul conseil a fonctionné dans cette procédure pour les époux A______ et C______.</w:t>
      </w:r>
    </w:p>
    <w:p>
      <w:r>
        <w:t>- 21/26 - P/9784/2012 Me ZWAHLEN a présenté le 2 septembre 2014, devant le Tribunal de police, un time-sheet faisant état, pour la période du 12 novembre 2012 au 2 septembre 2014, de 36,6 heures d'activité représentant des honoraires de CHF 14'665.- plus TVA de CHF 1'173,35, soit un total de CHF 15'838,35. Il a en seconde instance produit une note d'honoraires valant pour la première et la seconde instance d'un montant total de CHF 23'037,70, au nom des époux A______ et C______, concluant au versement de cette somme par moitié pour chacun, soit CHF 11'518,85. Le taux horaires appliqué n'est pas indiqué et un stagiaire a développé une activité dans ce dossier au côté du chef d'étude. L'importance du montant sollicité par le conseil des époux A______ et C______ est de CHF 8'000.- supérieur à celui du conseil de D______, ce qui ne peut que partiellement s'expliquer par la différence d'implication des parties en cause. Certains postes sont excessifs en durée décomptée, tel celui du 12 novembre 2012 de 105 minutes pour une audition à la police dont la durée effective a été de 30 minutes, celui du 14 novembre 2013 pour une durée de 5h50 pour deux conférences et une audience au Ministère public d'une durée effective de 2h50. Plusieurs démarches ne concernent par ailleurs pas directement la présente procédure, soit la rédaction de deux plaintes pénales le 2 mai 2013 et trois occurrences en octobre 2013 s'agissant de recherches sur "commission rogatoire".</w:t>
      </w:r>
    </w:p>
    <w:p>
      <w:r>
        <w:rPr>
          <w:b/>
        </w:rPr>
        <w:t>E. 6.3</w:t>
      </w:r>
    </w:p>
    <w:p>
      <w:r>
        <w:t>Compte tenu de ce qui précède et en l'absence de taux horaire appliqué au maître d'étude et au stagiaire, il sera fait droit aux prétentions des époux A______ et C______ et le montant de l'indemnité sera fixé, ex aequo et bono, à CHF 18'000.-, plus 8% de TVA, soit CHF 19'440.-. Le jugement de première instance sera modifié sur ce point.</w:t>
      </w:r>
    </w:p>
    <w:p>
      <w:r>
        <w:rPr>
          <w:b/>
        </w:rPr>
        <w:t>E. 7</w:t>
      </w:r>
    </w:p>
    <w:p>
      <w:r>
        <w:t>En l'absence d'acquittement, B______ sera débouté de ses conclusions en indemnisation (art. 429 CPP).</w:t>
      </w:r>
    </w:p>
    <w:p>
      <w:r>
        <w:rPr>
          <w:b/>
        </w:rPr>
        <w:t>E. 8</w:t>
      </w:r>
    </w:p>
    <w:p>
      <w:r>
        <w:t>La moitié des frais de la procédure de première instance sera mise à la charge de B______ et le jugement modifié sur ce point.</w:t>
      </w:r>
    </w:p>
    <w:p>
      <w:r>
        <w:t>B______, qui succombe pour majeure partie, supportera les 2/5 des frais de la procédure d'appel comprenant un émolument de décision de CHF 2'500.-.</w:t>
      </w:r>
    </w:p>
    <w:p>
      <w:r>
        <w:t>A______ et C______, aux conclusions en indemnisation desquels il n'est que partiellement fait droit, en supporteront le 1/5ème. L'appelante jointe, D______, qui succombe dans sa conclusion visant à faire condamner A______ et B______ pour tentative d'extorsion et de chantage, en supportera également le 2/5ème (art. 428 CPP).</w:t>
      </w:r>
    </w:p>
    <w:p>
      <w:r>
        <w:t>- 22/26 - P/9784/2012</w:t>
      </w:r>
    </w:p>
    <w:p>
      <w:r>
        <w:rPr>
          <w:b/>
        </w:rPr>
        <w:t>E. 9</w:t>
      </w:r>
    </w:p>
    <w:p>
      <w:r>
        <w:t>Par souci de clarté, le dispositif du jugement dont est appel sera entièrement annulé et formulé à nouveau. * * * * *</w:t>
      </w:r>
    </w:p>
    <w:p>
      <w:r>
        <w:t>- 23/26 - P/9784/2012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