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AARP/118/2014 vom 8. April 2013</w:t>
      </w:r>
    </w:p>
    <w:p>
      <w:r>
        <w:t>GE Cour de justice, 2013-04-08, FR</w:t>
      </w:r>
    </w:p>
    <w:p>
      <w:r>
        <w:rPr>
          <w:b/>
        </w:rPr>
        <w:t xml:space="preserve">Quelle: </w:t>
      </w:r>
      <w:r>
        <w:t>https://mcp.opencaselaw.ch/entscheid/ge_gerichte_AARP_118_2014</w:t>
      </w:r>
    </w:p>
    <w:p>
      <w:r>
        <w:t>FR: GE_GERICHTE AARP/118/2014 du 8 avril 2013</w:t>
      </w:r>
    </w:p>
    <w:p>
      <w:r>
        <w:t>IT: GE_GERICHTE AARP/118/2014 del 8 aprile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w:t>
      </w:r>
    </w:p>
    <w:p>
      <w:r>
        <w:t>- 13/24 - P/13397/2011</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y a circonstance aggravante lorsque l'auteur agit avec cruauté (art. 189 al. 3 CP).</w:t>
      </w:r>
    </w:p>
    <w:p>
      <w:r>
        <w:t>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 Les infractions en droit suisse, vol. I, 3e éd., Berne 2010, n. 8 ad art. 189 CP).</w:t>
      </w:r>
    </w:p>
    <w:p>
      <w:r>
        <w:rPr>
          <w:b/>
        </w:rPr>
        <w:t>E. 2.3</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Il y a également circonstance aggravante lorsque l'auteur agit avec cruauté (art. 190 al. 3 CP). Le viol est un délit de violence, qui suppose en règle générale une agression physique. Il en résulte que toute pression, tout comportement conduisant à un acte sexuel non souhaité ne saurait être qualifié de contrainte.</w:t>
      </w:r>
    </w:p>
    <w:p>
      <w:r>
        <w:rPr>
          <w:b/>
        </w:rPr>
        <w:t>E. 2.4</w:t>
      </w:r>
    </w:p>
    <w:p>
      <w:r>
        <w:t>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w:t>
      </w:r>
    </w:p>
    <w:p>
      <w:r>
        <w:t>- 14/24 - P/13397/2011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op. cit., n. 18 ad art. 189 CP).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Pour dire si les pressions d’ordre psychique étaient suffisantes pour rendre compréhensible le choix de la victime, il faut tenir compte de son état étant précisé qu'on ne peut attendre la même résistance de la part d’un enfant</w:t>
      </w:r>
    </w:p>
    <w:p>
      <w:r>
        <w:t>- 15/24 - P/13397/2011 ou de la part d’un adulte (ATF 128 IV 99 consid. 2b/aa ; B. CORBOZ, op. cit.,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w:t>
      </w:r>
    </w:p>
    <w:p>
      <w:r>
        <w:t>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w:t>
      </w:r>
    </w:p>
    <w:p>
      <w:r>
        <w:rPr>
          <w:b/>
        </w:rPr>
        <w:t>E. 2.5</w:t>
      </w:r>
    </w:p>
    <w:p>
      <w:r>
        <w:t>La cruauté suppose que l'auteur inflige volontairement, avant ou pendant l'acte, des souffrances physiques et psychiques particulières qui vont au-delà de ce qui appartient à la réalisation de l'infraction de base et l'accompagne nécessairement. (…) La répétition, la durée, l'humiliation particulière de la victime, le fait d'infliger des souffrances psychiques inutiles ou d'agir brutalement et sans égard, sont des circonstances qui peuvent amener à conclure à la cruauté. Agit avec une cruauté l'auteur qui crée un climat de terreur, impose à sa victime des actes d'ordre sexuel à trois reprises, l'étrangle, lui montre comment il s'y serait pris pour lui briser la nuque et la menace avec un couteau (M. DUPUIS / B. GELLER / G. MONNIER / L. MOREILLON / C. PIGUET / C. BETTEX / D. STOLL (éds), Code pénal - Petit commentaire, Bâle 2012, n. 38, 40 et 41 ad art. 189).</w:t>
      </w:r>
    </w:p>
    <w:p>
      <w:r>
        <w:rPr>
          <w:b/>
        </w:rPr>
        <w:t>E. 2.6</w:t>
      </w:r>
    </w:p>
    <w:p>
      <w:r>
        <w:t>En l'espèce, l'appelant admet les relations sexuelles et les actes d'ordre sexuel reprochés, mais conteste toute violence ou contrainte, et a fortiori toute cruauté.</w:t>
      </w:r>
    </w:p>
    <w:p>
      <w:r>
        <w:t>- 16/24 - P/13397/2011</w:t>
      </w:r>
    </w:p>
    <w:p>
      <w:r>
        <w:t>A la police, devant le Procureur et confrontée à l'appelant, la partie plaignante a, de manière constante, affirmé qu'elle avait été contrainte à des relations sexuelles non protégées, et à des actes d'ordre sexuel (fellation, sodomie). Elle avait été trompée sur la personne qu'elle devait rencontrer, sur le lieu où elle devait fournir ses prestations, et sur le montant qu'elle devait percevoir. L'appelant l'avait également contrainte à des actes scatologiques. Il s'était montré très agressif d'entrée de cause, lui avait arraché ses habits, avait été violent et menaçant, et ce jusqu'à ce qu'ils quittent les lieux, de sorte qu'elle n'avait pas osé s'opposer à lui.</w:t>
      </w:r>
    </w:p>
    <w:p>
      <w:r>
        <w:t>La description des événements par la partie plaignante est corroborée par des éléments objectifs, ce qui en renforce la crédibilité. Ainsi, les traces ADN trouvées sur son pantalon et son string sont compatibles avec un arrachage de vêtements, et en contradiction avec les déclarations de l'appelant, selon lesquelles chacun s'était déshabillé tout seul. Les lésions constatées à la Maternité sont indubitablement le résultat d'une certaine violence. L'absence de préservatif usagé sur les lieux, respectivement la présence d'un préservatif inutilisé portant des traces ADN de la partie plaignante, sont autant d'indices de ce qu'il n'y a pas eu de relations protégées, contrairement à ce qu'affirme l'appelant. Une cale en bois, pouvant rendre plus difficile l'ouverture de la porte du local où s'étaient déroulés les faits, a bien été trouvée par la police. L'attitude et les gestes de dégoût décrits par le policier ayant recueilli la plainte sont en adéquation avec le contenu de celle-ci. Le résultat des analyses rétroactives des données téléphoniques est conforme aux indications données par la partie plaignante, sur les appels reçus et passés. Le chauffeur de taxi et C______ ont confirmé que la partie plaignante s'était ouverte à eux de ce qui s'était passé, tout de suite après les faits, et ultérieurement pour la deuxième. Enfin, on voit mal que la partie plaignante se soit immédiatement rendue à la police, puis à la Maternité pour y subir des examens, sans raison véritable. Tous ces éléments permettent d'accréditer le récit de la partie plaignante, en dépit de quelques variations et imprécisions, bien compréhensibles au vu des circonstances et du traumatisme subi.</w:t>
      </w:r>
    </w:p>
    <w:p>
      <w:r>
        <w:t>A l'inverse, aucun crédit ne peut être accordé aux déclarations de l'appelant, invraisemblables, variables et en contradiction avec d'autres éléments du dossier.</w:t>
      </w:r>
    </w:p>
    <w:p>
      <w:r>
        <w:t>D'abord, alors que l'appelant prétend avoir consommé plusieurs cannettes de bière durant la journée et la soirée, le test de l'éthylomètre s'est révélé négatif. Il ne fait en revanche aucun doute qu'il était sous l'effet de drogue, même si le résultat des analyses toxicologiques ne figure pas au dossier, malgré les prélèvements d'urine et de sang effectués. L'appelant a affirmé tout au long de la procédure qu'il avait consommé de l'héroïne, voire de la cocaïne, et pris de la méthadone. C'est sans doute parce qu'il était sous l'influence de substances illicites, qu'il a gardé des souvenirs si vagues du déroulement de la soirée, d'où ses explications inconstantes. Ses problèmes persistants et graves d'addiction, établis par expertise, sont un indice supplémentaire de cette consommation.</w:t>
      </w:r>
    </w:p>
    <w:p>
      <w:r>
        <w:t>- 17/24 - P/13397/2011</w:t>
      </w:r>
    </w:p>
    <w:p>
      <w:r>
        <w:t>La prétendue existence, réaffirmée à plusieurs reprises, d'un ami prénommé E______ et habitant au ______, est en contradiction totale avec les constatations et enquêtes de la police, et démontre, une fois de plus, la confusion de l'appelant. La version selon laquelle l'appelant aurait d'abord utilisé un préservatif, avant de l'enlever d'entente avec la partie plaignante et moyennant augmentation du prix des prestations est, comme déjà relevé, en contradiction avec les éléments matériels trouvés par la police. Les fluctuations quant au montant convenu et finalement payé rendent les explications de l'appelant peu crédibles et sont contradictoires. L'appelant soutient qu'il n'a exercé aucune contrainte sur la partie plaignante, tout en admettant avoir tenté de la sodomiser sans son accord, avoir constaté qu'elle s'étouffait, l'avoir vigoureusement tenue à la nuque et aux poignets, et avoir fait tomber sa perruque, autant d'éléments dénotant la violence des relations. Les indications qu'il a données sur les appels reçus ou donnés par la partie plaignante durant la soirée sont aussi en contradiction avec le résultat des analyses des données téléphoniques rétroactives. L'examen de la version de l'appelant, à la lumière des traits de sa personnalité décrits par l'expert (tels que irritabilité, tendance à des colères intenses, intolérance à la frustration, interprétativité de la réalité avec tonalité persécutoire), autorise également à n'y accorder qu'une crédibilité relative, et renforce au contraire celle de la partie plaignante. Aux éléments qui précèdent, il convient d'ajouter l'aspect menaçant de l'appelant, qui comme il l'a finalement admis, ne maîtrisait pas sa force et pouvait être intimidant lorsqu'il avait consommé des stupéfiants, et la configuration des lieux, qui rendait vain tout appel au secours. La seule mention dans l'annonce de "Métisse fait tout" ne permet pas d'exclure la contrainte exercée par l'appelant sur la partie plaignante. S'agissant de la circonstance aggravante de la cruauté, point n'est besoin de longs développements pour considérer que les actes scatologiques que l'appelant a fait subir à la partie plaignante, de même que la multiplicité des autres actes et leur contexte, en réalisent les conditions. En conclusion, aucune violation du principe in dubio pro reo ne peut être reprochée aux premiers juges qui ont, à bon droit, reconnu l'appelant coupable des infractions de viol et de contrainte sexuelle, avec la circonstance aggravante de la cruauté. Le jugement sera confirmé sur ce point.</w:t>
      </w:r>
    </w:p>
    <w:p>
      <w:r>
        <w:rPr>
          <w:b/>
        </w:rPr>
        <w:t>E. 3.1</w:t>
      </w:r>
    </w:p>
    <w:p>
      <w:r>
        <w:t>Selon l’art. 19 al. 1 CP, l’auteur n’est pas punissable si, au moment d’agir, il ne possédait pas la faculté d’apprécier le caractère illicite de son acte ou de se déterminer d’après cette appréciation.</w:t>
      </w:r>
    </w:p>
    <w:p>
      <w:r>
        <w:t>La responsabilité restreinte est caractérisée par une défaillance de la connaissance et/ou de la volonté, avec la nuance que le défaut diminue, mais ne supprime pas toute</w:t>
      </w:r>
    </w:p>
    <w:p>
      <w:r>
        <w:t>- 18/24 - P/13397/2011 faculté de se déterminer. Le juge pénal dispose d'un vaste pouvoir d'appréciation pour déterminer si les conditions de la responsabilité restreinte sont réunies. N'importe quelle altération de la faculté de se dominer ne suffit pas pour restreindre la responsabilité. Le Tribunal fédéral raisonne par rapport au concept d'être humain normal, auquel il ne donne pas un sens étroit. Il ne reconnaît ainsi une responsabilité restreinte que si la structure mentale de l'auteur s'écarte sensiblement de la normale, par rapport non seulement aux autres sujets de droit, mais aussi aux délinquants comparables.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op. cit., n. 14 et 15 ad art. 19, avec les références citées).</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l'art. 9 Cst. Tel serait le cas si des motifs suffisants ou de sérieux indices lui faisaient douter de l'exactitude d'une expertise (ATF 129 I 49 consid. 4 p. 57 s. ; 118 Ia 144 consid. 1c p. 146).</w:t>
      </w:r>
    </w:p>
    <w:p>
      <w:r>
        <w:rPr>
          <w:b/>
        </w:rPr>
        <w:t>E. 3.2</w:t>
      </w:r>
    </w:p>
    <w:p>
      <w:r>
        <w:t>En l'espèce, avec l'expert, la Cour considère que la responsabilité de l'appelant était entière au moment des faits. Même s'il a été admis que celui-ci avait consommé des stupéfiants, ce dont l'expert a tenu compte, aucun autre élément du dossier ne permet de renverser la présomption d'une responsabilité pleine et entière.</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w:t>
      </w:r>
    </w:p>
    <w:p>
      <w:r>
        <w:t>- 19/24 - P/13397/2011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6B_759/2011 du 19 avril 2012 consid. 1.1).</w:t>
      </w:r>
    </w:p>
    <w:p>
      <w:r>
        <w:t>4.1.2. A teneur de l'art. 49 al. 1 CP, si, en raison d'un ou de plusieurs actes, l'auteur remplit les conditions de plusieurs peines de même genre, le juge le condamne à la peine de l'infraction la plus grave et l'augmente dans une juste proportion.</w:t>
      </w:r>
    </w:p>
    <w:p>
      <w:r>
        <w:rPr>
          <w:b/>
        </w:rPr>
        <w:t>E. 4.2</w:t>
      </w:r>
    </w:p>
    <w:p>
      <w:r>
        <w:t>En l'espèce, la faute de l'appelant est lourde. Par ses actes, il s'en est pris à la libre détermination en matière sexuelle de la partie plaignante, intérêt auquel le législateur accorde une grande importance. L'appelant a généré chez sa victime des souffrances importantes qui ont eu des répercussions sur sa vie personnelle et professionnelle. Le nombre et la nature des actes infligés, le lieu choisi et les réticences à s'acquitter d'un prix convenu, dénotent un mépris marqué pour la partie plaignante, déjà fragilisée par la profession difficile qu'elle exerçait. Son seul mobile était la satisfaction immédiate et sans limite de ses pulsions sexuelles.</w:t>
      </w:r>
    </w:p>
    <w:p>
      <w:r>
        <w:t>Ses antécédents, nombreux et bien que non spécifiques, témoignent d'une incapacité à respecter la législation en vigueur, et à faire cas du bien d'autrui.</w:t>
      </w:r>
    </w:p>
    <w:p>
      <w:r>
        <w:t>Sa collaboration moyenne à l'instruction révèle surtout un manque de prise de conscience de la gravité de ses actes.</w:t>
      </w:r>
    </w:p>
    <w:p>
      <w:r>
        <w:t>Certes, l'appelant a rencontré durant sa vie de nombreuses difficultés personnelles, familiales, ainsi que des problèmes importants de santé, liés à sa consommation excessive d'alcool et de stupéfiants. Il a cependant bénéficié à plusieurs reprises d'aide médicale et psychologique. Au moment des faits, il était en traitement dans un service d'addictologie. Depuis sa libération, il n'a régulièrement suivi le traitement ordonné que sur une période limitée, manquant de nombreux rendez-vous au moindre problème personnel. Ces éléments font douter de la volonté de l'appelant de se soumettre à l'avenir aux contraintes et règles d'une vie en société.</w:t>
      </w:r>
    </w:p>
    <w:p>
      <w:r>
        <w:t>Sur le plan professionnel, l'appelant faire preuve d'une certaine constance, malgré quelques absences récentes.</w:t>
      </w:r>
    </w:p>
    <w:p>
      <w:r>
        <w:t>Il y a concours d'infractions. La peine de quatre ans et demi infligée par les premiers juges tient équitablement compte des éléments qui précèdent et sera confirmée.</w:t>
      </w:r>
    </w:p>
    <w:p>
      <w:r>
        <w:rPr>
          <w:b/>
        </w:rPr>
        <w:t>E. 5.1</w:t>
      </w:r>
    </w:p>
    <w:p>
      <w:r>
        <w:t>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w:t>
      </w:r>
    </w:p>
    <w:p>
      <w:r>
        <w:t>- 20/24 - P/13397/2011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p. 281).</w:t>
      </w:r>
    </w:p>
    <w:p>
      <w:r>
        <w:rPr>
          <w:b/>
        </w:rPr>
        <w:t>E. 5.2</w:t>
      </w:r>
    </w:p>
    <w:p>
      <w:r>
        <w:t>En l'espèce, les mesures de substitution ordonnées par le TMC le 27 juin 2012, et confirmées par le tribunal de première instance, doivent être révoquées, les conditions posées par l'art. 221 CP n'étant pas réalisées. De plus, l'appelant persiste à ne pas s'y soumettre de manière régulière et satisfaisante depuis plusieurs mois, comme cela ressort du dernier rapport de la Fondation I______, qui demande d'ailleurs à être relevée de son mandat. L'engagement pris, par l'intermédiaire de son mandant, de s'y tenir à l'avenir n'emporte pas conviction.</w:t>
      </w:r>
    </w:p>
    <w:p>
      <w:r>
        <w:t>Dans la mesure où le juge saisi de la demande de la Fondation I______ a considéré, après interpellation des parties, que les conditions d'une mise en détention au sens de l'art. 232 CPP n'étaient pas réalisées, il n'y a pas lieu d'y revenir. L'appelant exécutera la peine à laquelle il a été condamné, dès son entrée en force.</w:t>
      </w:r>
    </w:p>
    <w:p>
      <w:r>
        <w:rPr>
          <w:b/>
        </w:rPr>
        <w:t>E. 6.1</w:t>
      </w:r>
    </w:p>
    <w:p>
      <w:r>
        <w:t>Conformément à l'art. 49 CO,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w:t>
      </w:r>
    </w:p>
    <w:p>
      <w:r>
        <w:t>- 21/24 - P/13397/2011</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6.2</w:t>
      </w:r>
    </w:p>
    <w:p>
      <w:r>
        <w:t>En l'espèce, il ne fait aucun doute que les faits, de par leur nature, leur durée et leur intensité, ont généré des souffrances importantes chez la partie plaignante, qui a suivi un traitement psychothérapeutique et surtout trouvé du réconfort auprès de sa famille ou de ses amis. Elle a dû interrompre son activité professionnelle pendant trois ou quatre mois, avant de la reprendre, mais dans un environnement différent et plus sécurisé. Elle a finalement renoncé à la prostitution et trouvé une autre activité lucrative. Elle se dit plus craintive qu'avant les faits, en particulier face aux personnes de couleur. C______ a confirmé que son amie était traumatisée, et craignait toujours d'être malade.</w:t>
      </w:r>
    </w:p>
    <w:p>
      <w:r>
        <w:t>Le montant alloué par les premiers juges au titre du tort moral tient équitablement compte de ce qui précède, et pourra être confirmé.</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(cf. A. KUHN / Y. JEANNERET (éds), Commentaire romand : Code de procédure pénale suisse, Bâle 2011, n. 7 ad. art. 433 CPP).</w:t>
      </w:r>
    </w:p>
    <w:p>
      <w:r>
        <w:t>7.1.2. Le défenseur d'office de la partie plaignante est indemnisé conformément au tarif des avocats de la Confédération ou du canton du for du procès (art. 135 al. 1 et 138 CPP).</w:t>
      </w:r>
    </w:p>
    <w:p>
      <w:r>
        <w:t>- 22/24 - P/13397/2011</w:t>
      </w:r>
    </w:p>
    <w:p>
      <w:r>
        <w:t>L’indemnité est calculée selon le tarif horaire de CHF 65.- pour un avocat stagiaire, CHF 125.- pour un collaborateur et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et sont appréciées en fonction notamment de la nature, de l’importance et des difficultés de la cause, de la valeur litigieuse, de la qualité du travail fourni et du résultat obtenu (art. 16 al. 2 RAJ).</w:t>
      </w:r>
    </w:p>
    <w:p>
      <w:r>
        <w:t>7.2.1. En l'espèce, la partie plaignante est au bénéfice de l'assistance judiciaire gratuite depuis le 28 septembre 2011 et n'a ainsi pas eu à assumer des frais d'avocat. Elle n'a par conséquent subi aucun dommage à ce titre et n'a pas droit à une indemnité fondée sur l'art. 433 CPP.</w:t>
      </w:r>
    </w:p>
    <w:p>
      <w:r>
        <w:t>7.2.2. L'indemnité réclamée par Me Sébastien PEDROLI, conseil juridique gratuit de la partie plaignante, dans son courrier du 4 juin 2013, est en adéquation avec la nature, l’importance et la difficulté de la cause, et sera partant allouée dans son entier, soit CHF 8'504.10 (TVA comprise).</w:t>
      </w:r>
    </w:p>
    <w:p>
      <w:r>
        <w:rPr>
          <w:b/>
        </w:rPr>
        <w:t>E. 8</w:t>
      </w:r>
    </w:p>
    <w:p>
      <w:r>
        <w:t>L'appelant, qui succombe pour l'essentiel, supportera les frais de la procédure envers l'État (art. 428 CPP), y compris un émolument de CHF 2'500.-. * * * * *</w:t>
      </w:r>
    </w:p>
    <w:p>
      <w:r>
        <w:t>- 23/24 - P/13397/2011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