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AARP/116/2015 vom 6. Februar 2015</w:t>
      </w:r>
    </w:p>
    <w:p>
      <w:r>
        <w:t>GE Cour de justice, 2015-02-06, FR</w:t>
      </w:r>
    </w:p>
    <w:p>
      <w:r>
        <w:rPr>
          <w:b/>
        </w:rPr>
        <w:t xml:space="preserve">Quelle: </w:t>
      </w:r>
      <w:r>
        <w:t>https://mcp.opencaselaw.ch/entscheid/ge_gerichte_AARP_116_2015</w:t>
      </w:r>
    </w:p>
    <w:p>
      <w:r>
        <w:t>FR: GE_GERICHTE AARP/116/2015 du 6 février 2015</w:t>
      </w:r>
    </w:p>
    <w:p>
      <w:r>
        <w:t>IT: GE_GERICHTE AARP/116/2015 del 6 febbraio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138 ch. 1 al. 1 CP, commet un abus de confiance celui qui, pour se procurer ou procurer à un tiers un enrichissement illégitime, se sera approprié une chose mobilière appartenant à autrui et qui lui avait été confiée. L'auteur encourt une peine privative de liberté de cinq ans au plus ou une peine pécuniaire. L'infraction suppose donc l'existence d'une chose mobilière, appartenant à autrui selon les règles de droit civil.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(arrêt du Tribunal fédéral 6B_33/2008 du 12 juin 2008 consid. 3.1., avec référence à l’ATF 88 IV 15 consid. 4 p. 16-17).</w:t>
      </w:r>
    </w:p>
    <w:p>
      <w:r>
        <w:t>- 14/23 - P/10325/2013 Il faut encore que la chose ait été confiée à l'auteur, ce qui signifie qu'elle doit avoir a été remise ou laissée à l'auteur pour qu'il l'utilise de manière déterminée, selon un accord expresse ou tacite, dans l'intérêt d'autrui, en particulier pour la conserver, l'administrer ou la livrer (ATF 120 IV 276 consid. 2 p. 278).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p. 29 ss ; ATF 118 IV 32 consid. 2a p. 34 ; arrêt du Tribunal fédéral 6B_827/2008 du 7 janvier 2009 consid. 1.3). S'il devait le tenir à disposition de l'ayant droit à un moment déterminé ou à l'échéance d'un délai déterminé, il doit avoir eu la volonté et la possibilité de le restituer à ce moment ou à cette échéance (ATF 118 IV 27 consid. 3a p. 30 ; ATF 118 IV 32 consid. 2a p. 34 ; arrêt du Tribunal fédéral 6B_587/2012 du 22 juillet 2013 consid. 3.1.2). Le dessein d'enrichissement peut être réalisé par dol éventuel (ATF 118 IV 32 consid. 2a p. 34) ; tel est le cas, lorsque l'auteur envisage l'enrichissement comme possible et agit néanmoins, même s'il ne le souhaite pas, parce qu'il s'en accommode pour le cas où il se produirait (ATF 105 IV 29 consid. 3a p. 36 ; cf. également ATF 123 IV 155 consid. 1a p. 156 ; ATF 121 IV 249 consid. 3a p. 253 et les arrêts cités).</w:t>
      </w:r>
    </w:p>
    <w:p>
      <w:r>
        <w:t>2.1.2. Aux termes de l'art. 139 ch. 1 CP, se rend coupable de vol, celui qui, pour se procurer ou procurer à un tiers un enrichissement illégitime, aura soustrait une chose mobilière appartenant à autrui dans le but de se l'approprier. L'auteur encourt une peine privative de liberté de cinq ans au plus ou une peine pécuniaire.</w:t>
      </w:r>
    </w:p>
    <w:p>
      <w:r>
        <w:rPr>
          <w:b/>
        </w:rPr>
        <w:t>E. 2.2</w:t>
      </w:r>
    </w:p>
    <w:p>
      <w:r>
        <w:t>Il n'est pas contesté qu'un nombre indéfini (au maximum dix) de pierres issues des lots 1______ et 2______ – propriété de la partie plaignante – a été confié à l'appelant, ce dernier ayant été autorisé à les emporter pour les mesurer et les trier. L'appelant, qui ne nie pas qu'un tel emprunt ne devait durer que quelques jours, a expliqué qu'une fois les mesures effectuées, il avait ramené les pierres pour en prendre d'autres et ainsi de suite, n'ayant jamais eu d'intention d'appropriation. Aucun élément au dossier n'atteste de cette démarche, qui n'est pas confirmée par la partie plaignante, l'appelant n'ayant jamais établi de soumission, comme il avait pourtant été sommé de le faire, ni produit de preuves attestant du travail effectué. L'explication donnée paraît de surcroit peu plausible au regard des autres agissements commis (cf. infra) et du fait que plusieurs de ses déclarations sont contredites par</w:t>
      </w:r>
    </w:p>
    <w:p>
      <w:r>
        <w:t>- 15/23 - P/10325/2013 d'autres protagonistes, ce qui rend ses dires, d'une façon générale, peu crédibles. En ne restituant pas les pierres au terme du délai tacitement convenu, qui était de quelques jours – contrairement aux chrysobéryls qu'il pouvait garder jusqu'au terme de sa formation –, l'appelant s'est intentionnellement approprié les pierres concernées. Il a agi dans un dessein d'enrichissement illégitime, n'ayant pas démontré la volonté de restitution alléguée. Au vu de ce qui précède, le premier juge a, à juste titre, reconnu l'appelant coupable du chef d'abus de confiance (art. 138 ch. 1 al. 1 CP), étant précisé que l'acquittement partiel prononcé (consid. 1.2.2 du jugement) est acquis à l'appelant (art. 391 al. 2 CPP).</w:t>
      </w:r>
    </w:p>
    <w:p>
      <w:r>
        <w:rPr>
          <w:b/>
        </w:rPr>
        <w:t>E. 3.1</w:t>
      </w:r>
    </w:p>
    <w:p>
      <w:r>
        <w:t>Les autres pierres semi-précieuses et précieuses (ci-après : les pierres) – appartenant à la partie plaignante, respectivement à ses fournisseurs ou à D______ – retrouvées au domicile de l'appelant, ne lui ont pas été confiées. Reconnaissant ne pas avoir requis l’autorisation de son supérieur avant de les emporter, ni appliqué la procédure de soumission mise en place au sein de la société, l’appelant n’a apporté aucune explication plausible à ce propos. Il argue uniquement avoir inscrit toutes les pierres qu'il avait prises sur des « listes » dont le contenu n'a cessé de varier au gré de la procédure. Elles référençaient, selon ses premières déclarations, les pierres présentées aux clients, celles qu'il désirait acquérir et celles qu'il étudiait, alors qu'à teneur de ses déclarations à l'audience de jugement, la liste des pierres à destination de la clientèle est devenue celle des pierres à trier. L’existence de ces listes n'a au demeurant pas été démontrée. Si les déclarations de F______ et H______, qui ont vu deux d'entre elles, appuient la thèse de l'appelant, elles demeurent insuffisantes à elles-seules. Ces documents n'ont pas été retrouvés, étant précisé qu'à son retour d'Allemagne, A______ a lui-même vidé son bureau. En sus, il n'a jamais avisé, et encore moins donné copie de ces listes à son employeur. L'appelant n'a eu de cesse d'affirmer n'avoir jamais voulu s'approprier les pierres et s'enrichir aux dépens de son employeur. Il n'avait pas l'intention de les conserver, mais voulait les étudier, les trier, les vendre pour le compte de C______ ou les acheter pour sa propre collection. Cette version n'a pas été démontrée et aucun élément du dossier ne plaide dans son sens. De manière générale, il n'est pas plausible que l'appelant – ayant travaillé dans la sécurité –, ait pris le risque d'emporter et de garder une telle quantité de pierres à son domicile – un lieu non- sécurisé –, alors que certaines étaient de grandes valeurs, notamment une estimée à CHF 10'000.-, pendant une période aussi longue, soit depuis début 2012, sans intention d'appropriation. En outre, une fois les pierres en sa possession, l’appelant a disposé de certaines d’entre elles, affirmant à ses interlocuteurs en être propriétaire ou se comportant comme tel. Il a échangé la tanzanite et vendu huit à dix paires de pierres à E______, auquel il avait également proposé deux rubis et sept émeraudes. Il a vendu une fluorite et soumis un diamant à I______. Il a également vendu la</w:t>
      </w:r>
    </w:p>
    <w:p>
      <w:r>
        <w:t>- 16/23 - P/10325/2013 tourmaline et fait sertir une bague offerte à son amie de cinq saphirs et dix diamants, et souhaitait faire monter deux autres saphirs sur des boucles d’oreilles. Rien ne permet de retenir que la volonté de l’appelant était différente s’agissant des pierres encore en sa possession, d’autant plus qu’il a assisté à des inventaires et savait que certaines étaient recherchées, mais n’a jamais indiqué à la partie plaignante qu’il possédait nombre de pierres à son domicile, sous réserve des quatres pièces mentionnées suite à la demande insistante de J______. Selon les déclarations cohérentes de F______, quinze pierres retrouvées chez l’appelant étaient recherchées lors de l'inventaire de juin 2013, notamment l'apatite, au sujet de laquelle le précité avait été maintes fois interrogé. En outre plusieurs des pierres saisies appartenaient à la collection privée de D______, notamment un spinelle bleu, que l'appelant a reconnu avoir prises, alors qu’aucune explication, notamment scientifique, ne saurait justifier une telle démarche. L'appelant reconnaît ne jamais avoir resitué le prix des pierres vendues, ni payé les pierres qu'il convoitait à C______, à l'exception de celles de faible valeur. Aucune de ses explications à ce propos n'est pertinente, il n'a notamment produit aucun décompte des ventes effectuées, ni démontré avoir consigné les sommes y relatives ou avoir reversé le faible prix de certaines pierres. C'est aussi à raison que le premier juge a retenu que l'appelant s'est approprié, avec conscience et volonté, les pierres en les soustrayant à son employeur et à D______ et en en disposant comme s'il en était propriétaire, dans un but d'enrichissement illégitime. Le même constat s'applique mutatis mutandis aux autres objets appartenant à la partie plaignante et/ou à D______, soit les livres de gemmologie et la balance munie de ses accessoires, qui ont été retrouvés au domicile de l'appelant. Nonobstant les différentes explications de ce dernier qui ne sont pas crédibles, on retiendra qu'il avait emporté ces objets sans autorisation préalable ou subséquente, dans le but de les utiliser notamment dans le cadre de ses études, se les appropriant de manière durable et évitant ainsi de devoir les acquérir lui-même. Le jugement entrepris sera donc confirmé en ce qu'il reconnait l'appelant coupable de vol (art. 139 ch. 1 CP), également celui de la montre Jaeger-LeCoultre qui n’était pas contesté. Le verdict de culpabilité prononcé par le premier juge devra par conséquent être confirmé et l'appel rejeté.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w:t>
      </w:r>
    </w:p>
    <w:p>
      <w:r>
        <w:t>- 17/23 - P/10325/2013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4.2</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w:t>
      </w:r>
    </w:p>
    <w:p>
      <w:r>
        <w:t>- 18/23 - P/10325/2013 dont on ne peut s'écarter qu'en présence d'un pronostic défavorable. Il prime en cas d'incertitude (ATF 134 IV 1 consid. 4.2.2 p. 5-6 ; SJ 2008 I p. 277 consid. 2.1. p. 280).</w:t>
      </w:r>
    </w:p>
    <w:p>
      <w:r>
        <w:rPr>
          <w:b/>
        </w:rPr>
        <w:t>E. 4.4</w:t>
      </w:r>
    </w:p>
    <w:p>
      <w:r>
        <w:t>En l'espèce, la faute de l'appelant est lourde. Il a agi à réitérées reprises pendant une période pénale substantielle ; le résultat de ses agissements, quoique non établi avec précision, est de l'ordre de dizaines de milliers de francs. Il a fait preuve d'un mépris total pour le patrimoine de son employeur, n'ayant aucune considération pour sa pérennité économique et sa clientèle, ainsi que pour la confiance que celui-ci lui témoignait. Il s'en est aussi pris au patrimoine personnel de D______. Le mobile était celui, égoïste, de l'appât du gain. La collaboration à l'enquête est mauvaise. Si l'appelant a fini par admettre le vol de la montre Jaeger-LeCoultre, c'est uniquement en raison de l'avancement de l'instruction et des éléments de preuve annihilant sa version initiale. Les regrets formulés à ce propos apparaissent de pure circonstance. Il a, sans cesse, tenté de se disculper, en indiquant notamment qu'il y avait d'importants dysfonctionnements au sein de la partie plaignante. Ces éléments témoignent d'une faible prise de conscience. Comme retenu par les premiers juges, la responsabilité de l'appelant était entière et il n'y a pas de circonstances atténuantes. A décharge, il faut tenir compte de sa collaboration lors de l'examen des inventaires en vue de déterminer la propriété respective des pièces. Sa situation personnelle relativement favorable ne saurait expliquer ses agissements délictueux. Il n'a pas d'antécédents, ce qui est toutefois neutre du point de vue de la fixation de la peine (ATF 136 IV 1 consid. 2.6.4 p. 3). Il y a concours d'infractions. Le sursis et la durée du délai d'épreuve accordés par le premier juge sont justifiés et, au demeurant, acquis à l'appelant (art. 391 al. 2 CPP). Au regard de l'ensemble de ces circonstances, la peine fixée par le tribunal de première instance de 14 mois, sous déduction de 278 jours de détention avant jugement, est adéquate et correspond à la faute de l’intéressé, de sorte qu’elle sera confirmée.</w:t>
      </w:r>
    </w:p>
    <w:p>
      <w:r>
        <w:t>- 19/23 - P/10325/2013</w:t>
      </w:r>
    </w:p>
    <w:p>
      <w:r>
        <w:rPr>
          <w:b/>
        </w:rPr>
        <w:t>E. 5</w:t>
      </w:r>
    </w:p>
    <w:p>
      <w:r>
        <w:t>5.1.1. Conformément à l'art. 433 al. 1 let. a CPP, applicable en instance de recours (art. 436 al. 1 CPP), si la partie plaignante a conclu à l’octroi d’une indemnité dans une procédure de recours où elle a obtenu gain de cause, cette indemnité sera mise à la charge du prévenu, non de l'État (ACPR/140/2013 du 12 avril 2013 ; ACPR/230/2013 du 8 mai 2013). L'art. 433 al. 1 CPP permet à la partie plaignante de demander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notamment lorsque le prévenu est condamné (M. NIGGLI / M. HEER / H. WIPRÄCHTIGER, op. cit., no 6 ad art. 433 ; N. SCHMID, Schweizerische Strafprozessordnung : Praxiskommentar, 2e éd., Zurich 2013, no 6 ad art. 433). La juste indemnité, notion qui laisse un large pouvoir d'appréciation au juge, couvre les dépenses et les frais nécessaires pour faire valoir le point de vue de la partie plaignante dans la procédure pénale, soit en en premier lieu ses frais d'avocat (A. KUHN / Y. JEANNERET (éds), Commentaire romand : Code de procédure pénale suisse, Bâle 2011, no 8 ad art. 433 ; N. SCHMID, op. cit., no 3 ad art. 433). 5.1.2.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rPr>
          <w:b/>
        </w:rPr>
        <w:t>E. 5.2</w:t>
      </w:r>
    </w:p>
    <w:p>
      <w:r>
        <w:t>La condamnation de l'appelant étant confirmée, le principe d'une indemnisation des frais d’avocat de l'intimée est acquis. L’appelant n’a formulé aucune critique au sujet des notes d’honoraires de la partie plaignante, contestant le principe de sa condamnation uniquement. Il n’y a donc pas de motif de ne pas faire droit aux prétentions de la partie plaignante dont les notes d'honoraires apparaissent conformes aux principes précités. Le jugement de première instance sera donc confirmé sur ce point. L'appelant sera condamné en sus à payer la somme de CHF 8'982.35 (TVA et frais compris), à la</w:t>
      </w:r>
    </w:p>
    <w:p>
      <w:r>
        <w:t>- 20/23 - P/10325/2013 partie plaignante, à titre d'indemnisation de ses frais d’avocat afférents à la procédure d'appel.</w:t>
      </w:r>
    </w:p>
    <w:p>
      <w:r>
        <w:rPr>
          <w:b/>
        </w:rPr>
        <w:t>E. 6.1</w:t>
      </w:r>
    </w:p>
    <w:p>
      <w:r>
        <w:t>Vu l'issue de la procédure d'appel, l'appelant sera débouté de ses conclusions en indemnisation (art. 429 et 436 CPP).</w:t>
      </w:r>
    </w:p>
    <w:p>
      <w:r>
        <w:rPr>
          <w:b/>
        </w:rPr>
        <w:t>E. 7.1</w:t>
      </w:r>
    </w:p>
    <w:p>
      <w:r>
        <w:t>L'appelant qui succombe, supportera les frais de la procédure d'appel, qui comprennent un émolument de jugement de CHF 2'000.- (art. 428 al. 1 CPP et 14 al. 1 let. e du Règlement fixant le tarif des frais en matière pénale ; E 4 10.03).</w:t>
      </w:r>
    </w:p>
    <w:p>
      <w:r>
        <w:rPr>
          <w:b/>
        </w:rPr>
        <w:t>E. 8</w:t>
      </w:r>
    </w:p>
    <w:p>
      <w:r>
        <w:t>8.1.1.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5.2 p. 202). 8.1.2. L'indemnité est calculée selon le tarif horaire de CHF 200.- pour un chef d'étude et de CH 65.- pour un avocat-stagiaire,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8.1.3. En l'espèce, l'activité suivante ne sera pas considérée comme nécessaire : - 1 heure et 15 minutes effectuées par le chef d'étude et affectées à la rédaction des annonce et déclaration d'appel, lesquelles sont inclues dans le forfait de 10% ;</w:t>
      </w:r>
    </w:p>
    <w:p>
      <w:r>
        <w:t>- 21/23 - P/10325/2013 - 1 heure et 45 minutes effectuées par le chef d'étude et affectées à l'étude du dossier, la lecture du jugement motivé ne nécessitait pas plus d'une heure ; - 2 heures estimées et/ou effectuées par le chef d'étude et affectées à la préparation de l'audience d'appel, quatre heures de préparation semblant suffisantes, étant rappelé que le dossier était connu du défenseur ; - 1 heure pour la présence lors de l'audience par-devant la CPAR, qui n'a en définitive duré que deux heures.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9 heures et 45 minutes d'activité effectuées par le chef d'étude, ce qui correspond à une indemnité de base de CHF 1'950.-. Il convient d'ajouter à ce montant l'indemnisation forfaitaire de 10%, en tenant compte de l'activité indemnisée en première instance, soit CHF 195.-, ainsi que la TVA à hauteur de CHF 171.60. * * * * *</w:t>
      </w:r>
    </w:p>
    <w:p>
      <w:r>
        <w:t>- 22/23 - P/10325/2013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