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AARP/114/2020 vom 19. März 2020</w:t>
      </w:r>
    </w:p>
    <w:p>
      <w:r>
        <w:t>GE Cour de justice, 2020-03-19, FR</w:t>
      </w:r>
    </w:p>
    <w:p>
      <w:r>
        <w:rPr>
          <w:b/>
        </w:rPr>
        <w:t xml:space="preserve">Quelle: </w:t>
      </w:r>
      <w:r>
        <w:t>https://mcp.opencaselaw.ch/entscheid/ge_gerichte_AARP_114_2020</w:t>
      </w:r>
    </w:p>
    <w:p>
      <w:r>
        <w:t>FR: GE_GERICHTE AARP/114/2020 du 19 mars 2020</w:t>
      </w:r>
    </w:p>
    <w:p>
      <w:r>
        <w:t>IT: GE_GERICHTE AARP/114/2020 del 19 marzo 2020</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p. 1303 ad art. 417 [actuel art. 410 CPP]).</w:t>
      </w:r>
    </w:p>
    <w:p>
      <w:r>
        <w:t>- 4/7 - P/20694/2018</w:t>
      </w:r>
    </w:p>
    <w:p>
      <w:r>
        <w:t>Les faits ou moyens de preuves sont nouveaux lorsque le juge n'en a pas eu connaissance au moment où il s'est prononcé, c'est-à-dire lorsqu'ils ne lui ont pas été soumis sous quelque forme que ce soit (ATF 137 IV 59 consid. 5.1.2 p. 66 s., 130 IV 72 consid. 1 p. 73).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apparaître à l'évidence que le juge n'a pas eu connaissance d'un moyen de preuve figurant à la procédure. Dans le doute, on doit supposer qu'il a pris connaissance de toutes les pièces du dossier (ATF 122 IV 66 consid. 2b p. 69; arrêt du Tribunal fédéral 6B_731/2013 du 28 novembre 2013 consid. 3.1.2).</w:t>
      </w:r>
    </w:p>
    <w:p>
      <w:r>
        <w:t>Les faits et moyens de preuve sont sérieux lorsqu'ils sont propres à ébranler les constatations de fait sur lesquelles se fonde la condamnation et que l'état de fait ainsi modifié rend possible un jugement sensiblement plus favorable au condamné (ATF 137 IV 59 consid. 5.1.4 p. 6, 130 IV 72 consid. 1 p. 73; arrêt 6B_731/2013 précité).</w:t>
      </w:r>
    </w:p>
    <w:p>
      <w:r>
        <w:t>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3e éd., Zürich 2011, n. 2067 et note 837, n. 2079 et 2089 s.).</w:t>
      </w:r>
    </w:p>
    <w:p>
      <w:r>
        <w:t>2.1.2. Aux termes de l'art. 412 al. 1 et 2 CPP, la juridiction d'appel examine préalablement la demande de révision en procédure écrite. Elle n'entre pas en matière si la demande est manifestement irrecevable.</w:t>
      </w:r>
    </w:p>
    <w:p>
      <w:r>
        <w:t>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n. 2108). L'examen préalable sert avant tout à constater si les motifs invoqués à l'appui de la demande en révision sont vraisemblables (Message, op. cit., FF 2006 p. 1305 ad art. 419 [actuel 412 CPP]). La</w:t>
      </w:r>
    </w:p>
    <w:p>
      <w:r>
        <w:t>- 5/7 - P/20694/2018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ou encore lorsque la demande de révision apparaît abusive. Une demande de révision dirigée contre une ordonnance de condamnation doit, en particulier, être considérée comme telle lorsqu'elle repose sur des faits que le condamné connaissait initialement, qu'il n'avait aucune raison légitime de taire et qu'il aurait pu révéler dans une procédure ordinaire mise en œuvre par une simple opposition. L'abus de droit ne doit toutefois être admis qu'avec réserve. Il s'agit, dans chaque cas, d'examiner, au regard des circonstances de l'espèce, si la demande de révision tend à contourner les voies de droit ordinaires (ATF 130 IV 72 consid. 3.2 p. 75 ; arrêts du Tribunal fédéral 6B_1214/2015 du 30 août 2016 consid. 2, 6B_731/2013 du 28 novembre 2013 consid. 3.1.2).</w:t>
      </w:r>
    </w:p>
    <w:p>
      <w:r>
        <w:rPr>
          <w:b/>
        </w:rPr>
        <w:t>E. 2.2</w:t>
      </w:r>
    </w:p>
    <w:p>
      <w:r>
        <w:t>En l'espèce, le demandeur se limite à contester sa condamnation du 6 décembre 2018, à ses yeux "abusive", et à exposer sa situation personnelle, son comportement irréprochable après sa libération, ainsi que les motifs l'ayant poussé à la commission d'infractions précédentes. Ce faisant, il n'invoque aucun fait ou moyen de preuve nouveau.</w:t>
      </w:r>
    </w:p>
    <w:p>
      <w:r>
        <w:t>La voie de l'opposition, dont il a d'ailleurs fait usage, lui était ouverte contre l'ordonnance pénale contestée. Or, il ne s'est pas présenté, fautivement, à l'audience fixée par le MP du 2 juillet 2019 lors de laquelle devait être traitée son opposition à ladite ordonnance pénale. C'est précisément à cette occasion qu'il aurait eu la possibilité d'exposer ce qu'il fait valoir à l'appui de sa demande de révision. En outre, il n'a fait aucune opposition aux ordonnances pénales du MP rendues entre le 3 juin et le 7 novembre 2018.</w:t>
      </w:r>
    </w:p>
    <w:p>
      <w:r>
        <w:rPr>
          <w:b/>
        </w:rPr>
        <w:t>E. 2.3</w:t>
      </w:r>
    </w:p>
    <w:p>
      <w:r>
        <w:t>Ainsi, le requérant ne peut désormais par la voie de la révision remettre en cause ces condamnations, pas plus que l'exécution des peines y relatives, comme relevé, en l'absence de faits ou de moyen de preuve nouveaux. Sa demande de révision est ainsi manifestement irrecevable, et sera rejetée comme telle, sans autre instruction, en application de l'art. 412 al. 2 CPP.</w:t>
      </w:r>
    </w:p>
    <w:p>
      <w:r>
        <w:rPr>
          <w:b/>
        </w:rPr>
        <w:t>E. 3.1</w:t>
      </w:r>
    </w:p>
    <w:p>
      <w:r>
        <w:t>En application de l'art. 428 al. 1 dernière phrase CPP et par renvoi de l'art. 413 al. 1 CPP, la partie dont le recours est irrecevable est considérée comme ayant succombé ; il en va de même en cas de rejet d'une demande de révision (A. KUHN / Y. JEANNERET [éds], Commentaire romand : Code de procédure pénale suisse, Bâle 2011, n. 3 ad art. 413).</w:t>
      </w:r>
    </w:p>
    <w:p>
      <w:r>
        <w:rPr>
          <w:b/>
        </w:rPr>
        <w:t>E. 3.2</w:t>
      </w:r>
    </w:p>
    <w:p>
      <w:r>
        <w:t>En conséquence, les frais de la présente procédure seront mis à charge du demandeur en révision qui succombe. * * * * *</w:t>
      </w:r>
    </w:p>
    <w:p>
      <w:r>
        <w:t>- 6/7 - P/20694/2018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