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AARP/113/2020 vom 12. März 2020</w:t>
      </w:r>
    </w:p>
    <w:p>
      <w:r>
        <w:t>GE Cour de justice, 2020-03-12, FR</w:t>
      </w:r>
    </w:p>
    <w:p>
      <w:r>
        <w:rPr>
          <w:b/>
        </w:rPr>
        <w:t xml:space="preserve">Quelle: </w:t>
      </w:r>
      <w:r>
        <w:t>https://mcp.opencaselaw.ch/entscheid/ge_gerichte_AARP_113_2020</w:t>
      </w:r>
    </w:p>
    <w:p>
      <w:r>
        <w:t>FR: GE_GERICHTE AARP/113/2020 du 12 mars 2020</w:t>
      </w:r>
    </w:p>
    <w:p>
      <w:r>
        <w:t>IT: GE_GERICHTE AARP/113/2020 del 12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w:t>
      </w:r>
    </w:p>
    <w:p>
      <w:r>
        <w:t>- 5/11 - P/5108/2019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2.2.1. À teneur de l'art. 115 al. 1 LEI, sera puni d'une peine privative de liberté d'un an au plus ou d'une peine pécuniaire, quiconque contrevient aux dispositions sur l'entrée en Suisse prévues à l'art. 5 LEI (let. a).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t>2.2.2. L’appelant a rendu plausible, voire a établi, étant précisé qu’il est regrettable qu’une copie du permis produit à l’audience de jugement n’ait pas été conservée, être au bénéfice d’un permis de résidence espagnol. En revanche, l’existence d’un passeport guinéen valable n’est pas démontrée.</w:t>
      </w:r>
    </w:p>
    <w:p>
      <w:r>
        <w:t>Quoi qu’il en soit, l’analyse des déclarations de l’appelant conduit à la conclusion que celui-ci n’était à tout le moins pas porteur de ses documents de voyage lorsqu’il a traversé la frontière pour pénétrer sur le territoire helvétique. Il a en effet exposé à la police que son passeport se trouvait chez sa copine en France, puis, au MP, qu’il avait laissé tant son permis de séjour que son passeport dans la voiture de celle-ci, d’où le sac qui contenait le permis de séjour avait été dérobé, sans aucun dégât matériel du véhicule.</w:t>
      </w:r>
    </w:p>
    <w:p>
      <w:r>
        <w:t>Outre que ces déclarations sont, comme retenu par le premier juge, peu crédibles, l’appelant s’étant notamment bien gardé de décliner l’identité exacte de son amie ce qui aurait permis de vérifier son propos (de même que l’existence de celle-ci), il en résulte, à le suivre, que ses deux documents d’identité se trouvaient, lors de son entrée en Suisse puis de son contrôle, dans la voiture de sa petite amie. Or, ce véhicule était nécessairement demeuré en France puisque l’appelant a aussi dit à la police que le passeport était resté dans ce pays.</w:t>
      </w:r>
    </w:p>
    <w:p>
      <w:r>
        <w:t>- 6/11 - P/5108/2019</w:t>
      </w:r>
    </w:p>
    <w:p>
      <w:r>
        <w:t>Certes l’appelant n’a pas signé son procès-verbal d’audition à la police, mais il a indiqué que c’était parce qu’il y était faussement indiqué qu’il avait déclaré être sans argent. Il n’a par ailleurs jamais soutenu que la voiture était garée en Suisse et il est cohérent qu’elle se trouvât à D______ puisque son amie y est domiciliée, selon lui.</w:t>
      </w:r>
    </w:p>
    <w:p>
      <w:r>
        <w:t>Certes, on ignore pour quel motif l’appelant a choisi de traverser la frontière sans son passeport guinéen (à supposer qu’il en détienne un) et son permis de séjour espagnol, notamment s’il souhaitait éviter d’être identifié, étant rappelé qu’il est connu sous trois alias. A tout le moins, il a agi avec intention, n’ignorant pas que la possession d’un document d’identification était nécessaire, et non par négligence étant relevé qu’il n’a pas soutenu avoir oublié de prendre ses documents.</w:t>
      </w:r>
    </w:p>
    <w:p>
      <w:r>
        <w:t>Il s’ensuit que contrairement à ce qu’il prétend, l’appelant, de nationalité étrangère, a bien pénétré en Suisse sans être porteur d’un document de légitimation reconnu pour le passage de la frontière et a, de ce fait, contrevenu à l’art. 115 al. 1 let. a LEI cum art. 5 al. 1 let. a LEI.</w:t>
      </w:r>
    </w:p>
    <w:p>
      <w:r>
        <w:t>Il ne sera en revanche pas retenu que l’appelant ne satisfaisait pas à la condition de l’art. 5 al. 1 let. b LEI dès lors que, ainsi qu’on le verra ci-après, il n’a pas séjourné illégalement en Suisse et que les espèces qu’il possédait était suffisantes pour le sustenter, au besoin, durant quelques heures, ainsi que financer un déplacement jusqu’à la frontière au moyen des transports publics.</w:t>
      </w:r>
    </w:p>
    <w:p>
      <w:r>
        <w:rPr>
          <w:b/>
        </w:rPr>
        <w:t>E. 2.3</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w:t>
      </w:r>
    </w:p>
    <w:p>
      <w:r>
        <w:t>Selon la doctrine, la simple présence d’un étranger non autorisé à séjourner sur le territoire ne suffit pas. Encore faut-il qu’elle soit d’une certaine durée soit, au moins, environ 24 heures (M. S. NGUYEN / C. AMARELLE (édi), Code annoté de droit des migrations, Vol. II : Loi sur les étrangers (LEtr), Berne 2017, n. 14 ad art. 115 ; M. CARONI / T. GÄCHTER / D. THURNHERR (éd), Bundesgesetz über Ausländerinnen und Ausländer (AuG), Stämpfli Handkommentar, Berne 2010, n. 19 ad art. 115), opinion qui doit être suivie la notion de séjour (Aufenthalt en allemand) impliquant nécessairement un élément de permanence.</w:t>
      </w:r>
    </w:p>
    <w:p>
      <w:r>
        <w:t>En l’occurrence, l’appelant a été interpellé le jour même de son arrivée, l’ordonnance pénale retenant qu’il est arrivé en Suisse à tout le moins le 6 mars 2019 et son arrestation étant intervenue à cette date à 21 heures (et non le lendemain). On ne saurait partant lui reprocher d’avoir séjourné illégalement en Suisse. L’appel doit donc être admis pour ce motif, bien que non plaidé, et le jugement modifié en ce sens.</w:t>
      </w:r>
    </w:p>
    <w:p>
      <w:r>
        <w:t>- 7/11 - P/5108/2019</w:t>
      </w:r>
    </w:p>
    <w:p>
      <w:r>
        <w:rPr>
          <w:b/>
        </w:rPr>
        <w:t>E. 3</w:t>
      </w:r>
    </w:p>
    <w:p>
      <w:r>
        <w:t>Vu l’acquittement partiel, la peine doit être réduite.</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La faute de l’appelant demeure non négligeable, celui-ci ayant pénétré en Suisse alors qu’il savait ne pas être porteur des documents indispensables, faisant ainsi preuve à tout le moins de désinvolture à l’égard des normes sur le statut des étrangers. Le mobile, certes pas identifié, n’en était pas néanmoins égoïste. Dans la mesure où il a nié l’infraction jusqu’en appel, il faut admettre que la prise de conscience de l’appelant est nulle. La collaboration est médiocre, vu ses déclarations peu crédibles et fluctuantes. Il a un antécédent très récent, bien que non spécifique, ce qui aurait dû l’inciter à d’autant plus de rigueur. Néanmoins, comme retenu par le premier juge, l’appelant semble bénéficier d’une occupation, bien qu’irrégulière, et de liens en Espagne, ce qui permet d’espérer qu’il ne récidivera pas ou qu’il pourrait s’acquitter d’une peine pécuniaire, s’il devait démentir cette prévision et s’exposer à la révocation du sursis. La peine sera partant ramenée à 15 jours-amende, à CHF 10.- l’unité. Le bénéfice du sursis ainsi que la renonciation à révoquer le précédent lui sont acquis. La Cour confirmera cela étant l’avertissement et la prolongation de la durée</w:t>
      </w:r>
    </w:p>
    <w:p>
      <w:r>
        <w:t>- 8/11 - P/5108/2019 d’épreuve dudit sursis par un an, l’intéressé n’ayant pas su rester dans la légalité durant le délai d’épreuve, et la récidive étant intervenue rapidement.</w:t>
      </w:r>
    </w:p>
    <w:p>
      <w:r>
        <w:rPr>
          <w:b/>
        </w:rPr>
        <w:t>E. 4</w:t>
      </w:r>
    </w:p>
    <w:p>
      <w:r>
        <w:t>Vu l’issue de la cause, seule la moitié des frais de la procédure de première instance et d’appel sera mise à la charge de l’appelant (art. 428 al. 1 et 2 CPP), étant précisé qu’il pourrait théoriquement lui être reproché d’avoir fautivement provoqué l’ouverture d’une procédure à son encontre du chef de violation de l’art. 115 al. 1 let. b CPP pour s’être trouvé sur le territoire suisse en étant démuni de documents d’identité, ce qui créait au moins l’apparence d’un séjour illégal (art. 430 CPP), mais qu’il aurai dû d’emblée apparaître à l’autorité qu’il ne pouvait être question de « séjour » vu la durée en cause. Les frais d’appel comprennent un émolument d’arrêt de CHF 1'200.- (art. 14 al. 1 let. e du règlement fixant le tarif des frais en matière pénale du 22 décembre 2010 [RTFMP - E 4 10.03]).</w:t>
      </w:r>
    </w:p>
    <w:p>
      <w:r>
        <w:rPr>
          <w:b/>
        </w:rPr>
        <w:t>E. 5</w:t>
      </w:r>
    </w:p>
    <w:p>
      <w:r>
        <w:t>En prolongement (ATF 137 IV 352 consid. 2.4.2 p. 357 ; arrêts du Tribunal fédéral 6B_548/2018 du 18 juillet 2018 consid. 1.1.2 ; 6B_385/2017 du 5 décembre 2017 consid. 2.1), une indemnité de CHF 1'696.30 couvrant la moitié des honoraires d’avocat facturés pour la procédure de première instance, dont la quotité parait raisonnable, lui sera allouée (art. 429 al. 1 let. a CPP). Dite indemnité doit cependant être compensée, à due concurrence, avec la part des frais de procédure mise à charge de l’appelant (art. 442 al. 4 CPP).</w:t>
      </w:r>
    </w:p>
    <w:p>
      <w:r>
        <w:t>La détention subie ne l’a pas été à tort, la quotité de la peine demeurant supérieure à l’unique jour de détention subi. Il n’y a donc pas lieu à indemnité de ce chef.</w:t>
      </w:r>
    </w:p>
    <w:p>
      <w:r>
        <w:rPr>
          <w:b/>
        </w:rPr>
        <w:t>E. 6</w:t>
      </w:r>
    </w:p>
    <w:p>
      <w:r>
        <w:t>L’activité déployée par l’avocate stagiaire de la défenseure d’office pour la période postérieure à la nomination de celle-ci satisfait aux exigences régissant l’assistance judiciaire de sorte qu’une rémunération de CHF 497.60 (forfait pour les activités diverses et TVA par CHF 35.60 compris) est allouée. * * * * *</w:t>
      </w:r>
    </w:p>
    <w:p>
      <w:r>
        <w:t>- 9/11 - P/5108/2019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