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AARP/112/2020 vom 13. März 2020</w:t>
      </w:r>
    </w:p>
    <w:p>
      <w:r>
        <w:t>GE Cour de justice, 2020-03-13, FR</w:t>
      </w:r>
    </w:p>
    <w:p>
      <w:r>
        <w:rPr>
          <w:b/>
        </w:rPr>
        <w:t xml:space="preserve">Quelle: </w:t>
      </w:r>
      <w:r>
        <w:t>https://mcp.opencaselaw.ch/entscheid/ge_gerichte_AARP_112_2020</w:t>
      </w:r>
    </w:p>
    <w:p>
      <w:r>
        <w:t>FR: GE_GERICHTE AARP/112/2020 du 13 mars 2020</w:t>
      </w:r>
    </w:p>
    <w:p>
      <w:r>
        <w:t>IT: GE_GERICHTE AARP/112/2020 del 13 marzo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w:t>
      </w:r>
    </w:p>
    <w:p>
      <w:r>
        <w:t>- 6/13 - P/14407/2018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2.2.1. Depuis le 1er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w:t>
      </w:r>
    </w:p>
    <w:p>
      <w:r>
        <w:t>- 7/13 - P/14407/2018 s'imposer (par analogie avec l'ancien droit s'agissant du choix de la peine : ATF 134 IV 60) (M. DUPUIS / L. MOREILLON / C. PIGUET / S. BERGER / M. MAZOU / V. RODIGARI, Petit commentaire du Code pénal, 2e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n. 3, ad art. 41[1.1.2018]). 2.2.2. Au sens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Le sursis est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2.2.3. Le défaut de prise de conscience de la faute peut justifier un pronostic défavorable, car seul celui qui se repent de son acte mérite la confiance que l'on doit pouvoir accorder au condamné bénéficiant du sursis (arrêt du Tribunal fédéral 6B_276/2018 du 24 septembre 2018, consid. 3.1). 2.2.4. La Directive sur le retour, qui permet le prononcé d'une peine privative de liberté pour séjour illégal uniquement si la procédure administrative de renvoi a été</w:t>
      </w:r>
    </w:p>
    <w:p>
      <w:r>
        <w:t>- 8/13 - P/14407/2018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LEtr (ATF 143 IV 264 consid. 2.6 = SJ 2018 I 136 ; arrêts du Tribunal fédéral 6B_912/2017 du 4 octobre 2017 consid. 1.1 ; 6B_1078/2016 du 29 août 2017 consid. 2.1 ; 1B_422/2016 du 7 décembre 2016 consid. 2.2).</w:t>
      </w:r>
    </w:p>
    <w:p>
      <w:r>
        <w:rPr>
          <w:b/>
        </w:rPr>
        <w:t>E. 2.3</w:t>
      </w:r>
    </w:p>
    <w:p>
      <w:r>
        <w:t>L'appelant ne conteste en l'espèce pas, à juste titre, sa culpabilité des chefs d'infractions aux art. 119 al. 1 LEI et 19 al. 1 let. c LStup, punissables d'une peine privative de liberté de trois ans au plus ou d'une peine pécuniaire, et à l'art. 115 al. 1 let. a et b LEI, punissable d'une peine privative de liberté d'un an au plus ou d'une peine pécuniaire. Comme retenu à juste titre par le premier juge, sa faute n'est pas négligeable s'agissant de la vente de cocaïne, quand bien même il ne s'agit que d'une occurrence, d'une entrée et d'un séjour illégal en Suisse, ainsi que d'une violation d'interdiction de périmètre, le tout sur une période pénale de cinq mois et demi. L'appelant est en effet non seulement revenu en Suisse après en avoir été renvoyé au terme d'une procédure Dublin, mais a profité de sa présence illégale dans ce pays pour se livrer à un trafic de stupéfiants, ce qui témoigne d'un mépris de la législation en vigueur. Nonobstant une première condamnation à une peine privative de liberté assortie du sursis le 13 juin 2018, il a persisté à séjourner illégalement en Suisse, puis, après son renvoi en Espagne le 28 juin suivant, il n'a pas hésité à y revenir très rapidement. Alors même qu'il était attribué au canton de Fribourg des suites de sa demande d'asile et y a été transféré le 31 juillet 2018, il est revenu dans la foulée à Genève et y a constamment résidé, violant l'interdiction de périmètre notifiée ce même 31 juillet 2018. L'appelant a agi par pur appât du gain rapide, s'agissant de la vente de stupéfiants, soit un mobile égoïste. Il a aussi agi par pure convenance personnelle et au mépris des règles en vigueur. Il ne faut pas sous-estimer le préjudice pour la collectivité du séjour illégal, y compris au plan matériel, puisque cela mobilise constamment les nombreux acteurs appelés à le réprimer, ce qui est également le cas de violations de pèrimètres. Il ne s'agit pas là de comportements de peu de gravité, contrairement à ce qu'il soutient. Même si la précarité de la situation personnelle du prévenu explique, en partie, ses agissements, elle ne saurait les justifier, étant relevé que son absence totale de liens avec la Suisse – une relation avec une femme établie à G______ [NE] n'étant pas avérée et au demeurant pas plaidée en appel - rend encore moins compréhensible son insistance à rester en toute illégalité dans ce pays, ce qui vaut aussi pour le canton de Genève.</w:t>
      </w:r>
    </w:p>
    <w:p>
      <w:r>
        <w:t>- 9/13 - P/14407/2018 S'il a en définitive reconnu tous les faits reprochés, il lui aurait été difficile de les contester compte tenu des circonstances de ses interpellations des 30 juillet 2018 et 15 janvier 2019, la première alors qu'il venait de vendre une boulette de cocaïne à un toxicomane sous les yeux de la police. Sa collaboration doit dans ces conditions être qualifiée de neutre. Il n'a fait aucun cas des décisions des autorités rendues à son encontre. Il n'y a aucune manifestation sérieuse d'une prise de conscience. Quand bien même la question du type de peine prononcé en juin 2018 pouvait se poser en regard de la Directive sur le retour, il n'en demeure pas moins que le prévenu a compris avoir alors été condamné en raison de son séjour illégal en Suisse, condamnation dont il n'a pas tenu compte. Dans ces circonstances et compte tenu de la situation actuelle, le pronostic à émettre concernant son comportement futur est clairement défavorable, ce qui exclut l'octroi du sursis. Le prononcé d'une peine privative de liberté s'imposerait déjà. A cela s'ajoute que sa situation financière est plus qu'incertaine, quand bien même il réaliserait effectivement un faible revenu tiré d'un commerce de revente de biens ramassés dans la rue. Sa situation ne lui permettrait en tout état pas de s'acquitter d'une peine pécuniaire. Le concours d'infractions justifie une aggravation des deux peines sanctionnant les infractions les plus graves que sont la violation de la LStup et de l'art. 119 LEI, lesquelles commanderaient à elles seules le prononcé d'une peine de 60 jours. C'est à juste titre que le premier juge a quantifié à 40 jours supplémentaires la sanction afférente à l'entrée et au séjour illégal (art. 115 al. 1 let. a et b LEI) portant au final la peine privative de liberté à 100 jours, laquelle sera confirmée.</w:t>
      </w:r>
    </w:p>
    <w:p>
      <w:r>
        <w:rPr>
          <w:b/>
        </w:rPr>
        <w:t>E. 3</w:t>
      </w:r>
    </w:p>
    <w:p>
      <w:r>
        <w:t>L'appelant, qui succombe, supportera les frais de la procédure envers l'État comprenant un émolument de CHF 1'200.- (art. 428 CPP).</w:t>
      </w:r>
    </w:p>
    <w:p>
      <w:r>
        <w:rPr>
          <w:b/>
        </w:rPr>
        <w:t>E. 4.1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 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w:t>
      </w:r>
    </w:p>
    <w:p>
      <w:r>
        <w:t>- 10/13 - P/14407/2018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conforme aux dispositions et principes qui précèdent, de sorte qu’il sera admis sans en reprendre le détail.</w:t>
      </w:r>
    </w:p>
    <w:p>
      <w:r>
        <w:t>En conclusion, l'indemnité sera arrêtée à CHF 685.- correspondant à 1h d'activité au tarif de CHF 200.-/heure, 3h à celui de CHF 110.- (CHF 330.-), plus la majoration forfaitaire de 20% (CHF 106.-) et l'équivalent de la TVA au taux de 7.7% en CHF 49.-. * * * * *</w:t>
      </w:r>
    </w:p>
    <w:p>
      <w:r>
        <w:t>- 11/13 - P/14407/2018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