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AARP/112/2019 vom 28. September 2018</w:t>
      </w:r>
    </w:p>
    <w:p>
      <w:r>
        <w:t>GE Cour de justice, 2018-09-28, FR</w:t>
      </w:r>
    </w:p>
    <w:p>
      <w:r>
        <w:rPr>
          <w:b/>
        </w:rPr>
        <w:t xml:space="preserve">Quelle: </w:t>
      </w:r>
      <w:r>
        <w:t>https://mcp.opencaselaw.ch/entscheid/ge_gerichte_AARP_112_2019</w:t>
      </w:r>
    </w:p>
    <w:p>
      <w:r>
        <w:t>FR: GE_GERICHTE AARP/112/2019 du 28 septembre 2018</w:t>
      </w:r>
    </w:p>
    <w:p>
      <w:r>
        <w:t>IT: GE_GERICHTE AARP/112/2019 del 28 settembre 2018</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- 5/14 - P/4715/2018</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arrêt du Tribunal fédéral 6B_804/2017 du 23 mai 2018 consid. 2.2.3.1 destiné à la publication).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 arrêts du Tribunal fédéral 6B_634/2018 du 22 août 2018 consid. 2.1 ; ATF 144 IV 345 consid. 2.2.3.3; 6B_1306/2017 du 17 mai 2018 consid. 2.1.1). 2.2.1. L'art. 139 ch. 1 du code pénal suisse du 21 décembre 1937 (CP; RS 311.0) punit d’une peine privative de liberté de cinq ans au plus ou d’une peine pécuniaire celui qui, pour se procurer ou procurer à un tiers un enrichissement illégitime, aura soustrait une chose mobilière appartenant à autrui dans le but de se l’approprier. 2.2.2. Selon l'art. 172ter al. 1 CP, applicable aux infractions contre le patrimoine, si l'acte ne visait qu'un élément patrimonial de faible valeur ou un dommage de moindre importance, l'auteur sera, sur plainte, puni d'une amende. C'est l'intention de l'auteur qui est déterminante, et non le résultat obtenu. Si l'auteur a dû se contenter d'un montant de moins de CHF 300.-, il ne peut bénéficier de la disposition précitée si son intention était d'obtenir davantage. Le dol éventuel suffit (ATF 123 IV 155 consid. 1a p. 156 ; arrêts du Tribunal fédéral 6B_859/2018 du</w:t>
      </w:r>
    </w:p>
    <w:p>
      <w:r>
        <w:rPr>
          <w:b/>
        </w:rPr>
        <w:t>E. 2.3</w:t>
      </w:r>
    </w:p>
    <w:p>
      <w:r>
        <w:t>En l'espèce, l'appelant n'a pas fait appel de sa culpabilité du chef de violation de domicile. Il conteste en revanche avoir cassé la porte de la cave de l'intimée et avoir volé plus que cinq montres D______ qui se trouvaient par terre, montres revendues pour un montant de CHF 100.-. L'appelant n'est pas crédible dans ses dénégations. Il ne l'est pas en particulier lorsqu'il indique n'être entré que dans une seule cave alors qu'il y en avait plusieurs ouvertes, élément qui ne ressort au demeurant pas du dossier et ce dont il n'a pas parlé lors de sa première audition devant le Ministère public. Il est difficile également de concevoir que l'appelant, qui avait besoin d'argent, ait attendu près d'un mois pour écouler les montres volées si celles-ci constituaient son seul butin. Compte tenu précisément de ce besoin d'argent, il est encore étonnant que l'appelant se soit contenté de ramasser quelques montres qui se seraient trouvées au sol, à l'exclusion de tout autre objet qui se serait trouvé dans la cave de la plaignante ou dans les autres caves prétendument ouvertes. Qu'il ait choisi de dormir dans une cave le soir-même du passage de cambrioleurs serait également une coïncidence assez extraordinaire, si l'on y ajoute son antécédent spécifique. Il en découle qu'il n'y a en l'espèce pas de place pour un doute sérieux et irréductible sur le fait que l'appelant a bien volé tous les biens mentionnés dans l'acte d'accusation et que les explications concernant la présence de cambrioleurs qui auraient abandonné cinq montres sur le sol de la cave de la plaignante ne résistent pas à l'examen. Pour les raisons évoquées, la Cour retient que l'appelant a commis les faits qui lui sont reprochés, constitutifs de vol au sens de l'art. 139 CP et de dommages à la propriété au sens de l'art. 144 CP. En tout état, il sera encore relevé que même si seules les montres avaient été volées, l'art. 172ter CP n'aurait pas été applicable, dès lors que l'appelant, qui n'avait alors pas de travail, avait pour intention de vendre les montres dont il ignorait totalement la valeur et en aurait ainsi par définition espéré la plus grande valeur possible, de sorte qu'il n'aurait pas visé un élément patrimonial de faible valeur. L'appel sera ainsi rejeté s'agissant de la culpabilité et le jugement confirmé.</w:t>
      </w:r>
    </w:p>
    <w:p>
      <w:r>
        <w:rPr>
          <w:b/>
        </w:rPr>
        <w:t>E. 3</w:t>
      </w:r>
    </w:p>
    <w:p>
      <w:r>
        <w:t>3.1.1. Les nouvelles dispositions sur le droit des sanctions sont entrées en vigueur le 1er janvier 2018, réforme qui marque globalement un durcissement. La peine pécuniaire est désormais limitée à 180 jours (art. 34 al. 1 CP). Le prononcé d’une peine privative de liberté même courte est possible si cette sanction paraît justifiée pour détourner l’auteur d’autres crimes ou délits ou s’il y a lieu de craindre qu’une peine pécuniaire ne puisse pas être exécutée, sans que les conditions du sursis doivent être exclues (art. 41 al. 1 CP). Il est ainsi plus sévère sur ces plans et ne sera</w:t>
      </w:r>
    </w:p>
    <w:p>
      <w:r>
        <w:t>- 7/14 - P/4715/2018 par conséquent pas pris en considération (art. 2 al. 2 CP) en l'espèce, l'ancien droit étant applicable, les faits ayant été commis avant le 1er janvier 2018.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3.1.3. Aux termes de l'art. 41 al. 1 aCP, le juge peut prononcer une peine privative de liberté ferme de moins de six mois uniquement si les conditions du sursis à l'exécution de la peine ne sont pas réunies et s'il y a lieu d'admettre que ni une peine pécuniaire, ni un travail d'intérêt général ne peuvent être exécutés. 3.1.4. Aux termes de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t>Le juge dispose d'un large pouvoir d'appréciation dans l'émission du pronostic sur l'amendement de l'auteur visé par l'art. 42 al. 1 et al. 2 CP. Ce dernier doit toutefois être posé sur la base de tous les éléments propres à éclairer l'ensemble du caractère de l'accusé et ses chances d'amendement. Il n'est pas admissible d'accorder un poids particulier à certains critères et d'en négliger d'autres qui sont pertinents (ATF 135 IV 180 consid. 2.1 p. 186 et les références ; arrêts du Tribunal fédéral 6B_1406/2016 du 16 octobre 2017 consid. 1.1 à 1.3 ; 6B_430/2016 du 27 mars 2017 consid. 3.1).</w:t>
      </w:r>
    </w:p>
    <w:p>
      <w:r>
        <w:t>- 8/14 - P/4715/2018 3.1.5. Selon l'art. 46 aCP, si, durant le délai d'épreuve, le condamné commet un crime ou un délit et qu'il y a dès lors lieu de prévoir qu'il commettra de nouvelles infractions, le juge révoque le sursis ou le sursis partiel (alinéa 1, première phrase). S'il n'y a pas lieu de prévoir que le condamné commettra de nouvelles infractions, le juge renonce à ordonner la révocation (alinéa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IV 140 consid. 4.4 et 4.5 p. 143 s. ; arrêt du Tribunal fédéral 6B_879/2016 du 22 juin 2017 consid. 3.1). 3.1.6. D'après l'art. 49 al. 1 CP, si, en raison d'un ou de plusieurs actes, l'auteur remplit les conditions de plusieurs peines de même genre, le juge le condamne à la peine de l'infraction la plus grave et l'augmente dans une juste proportion. Lorsque les différentes infractions sont étroitement liées sur les plans matériel et temporel, de sorte qu'elles ne peuvent pas être séparées et être jugées pour elles seules, le juge ne viole pas le droit fédéral s'il ne détermine pas pour chaque infraction une peine hypothétique, mais fixe une peine de manière globale (arrêt du Tribunal fédéral 6B_1011/2014 du 16 mars 2015 consid. 4.4).</w:t>
      </w:r>
    </w:p>
    <w:p>
      <w:r>
        <w:rPr>
          <w:b/>
        </w:rPr>
        <w:t>E. 3.2</w:t>
      </w:r>
    </w:p>
    <w:p>
      <w:r>
        <w:t>En l'espèce, les faits retenus contre l'appelant sont constitutifs de vol, de violation de domicile et de dommages à la propriété, infractions étroitement liées sur les plans matériel et temporel.</w:t>
      </w:r>
    </w:p>
    <w:p>
      <w:r>
        <w:t>La faute de l'appelant n'est pas négligeable, comme relevé à juste titre par le premier juge. Il s'en est pris à la propriété d'autrui, pour des mobiles égoïstes, soit par appât du gain. Il avait pleine latitude pour agir autrement, étant en bonne santé et disposant d'un passeport européen qui lui permettait d'obtenir les autorisations nécessaires pour travailler légalement en Suisse. Il a récidivé dans le délai d'épreuve d'une condamnation prononcée pour des faits spécifiques, condamnation assortie d'un sursis qui n'a pas eu d'effet dissuasif. Sa collaboration à la procédure doit être considérée comme moyenne, en ce sens qu'il a contesté les faits qui lui étaient reprochés hormis le vol des montres dont la vente avait été constatée par la police avant-même son arrestation. Il n'a par ailleurs exprimé aucuns regrets envers la partie plaignante. Sa prise de conscience paraît limitée. Il y a enfin concours d'infractions.</w:t>
      </w:r>
    </w:p>
    <w:p>
      <w:r>
        <w:t>- 9/14 - P/4715/2018</w:t>
      </w:r>
    </w:p>
    <w:p>
      <w:r>
        <w:t>Vu sa situation financière et l'absence d'effet dissuasif de la précédente peine prononcée, une courte peine privative de liberté apparaît dès lors nécessaire pour sanctionner les actes commis, les conditions du sursis, auquel l'appelant ne conclut d'ailleurs à juste titre pas, n'étant manifestement pas remplies compte tenu en particulier de l'antécédent spécifique relativement récent. Dans ces conditions, la peine privative de liberté de quatre mois infligée en première instance apparaît, tant dans sa nature que dans sa quotité, adéquate et conforme au droit. S'agissant du sursis octroyé le 25 octobre 2016 par le Ministère public de Genève, c'est à bon droit que le Tribunal l'a révoqué, compte tenu de la récidive spécifique pendant le délai d'épreuve, la prise de conscience limitée de l'appelant ne permettant pas une autre solution. Le jugement du Tribunal de police sera ainsi également confirmé en ce qui concerne la peine.</w:t>
      </w:r>
    </w:p>
    <w:p>
      <w:r>
        <w:rPr>
          <w:b/>
        </w:rPr>
        <w:t>E. 4</w:t>
      </w:r>
    </w:p>
    <w:p>
      <w:r>
        <w:t>4.1.1. Conformément à l'art. 66a al. 1 CP, le juge expulse un étranger du territoire suisse pour une durée de cinq à quinze ans s'il est reconnu coupable de l'une des infractions énumérées aux let. a à o. L'art. 66a CP prévoit l'expulsion "obligatoire" de l'étranger condamné pour l'une des infractions ou combinaison d'infractions listées à l'al. 1, quelle que soit la quotité de la peine prononcée à son encontre. L'expulsion est donc également en principe indépendante de la gravité des faits retenus (arrêt du Tribunal fédéral 6B_506/2017 du 14 février 2018 consid. 1.1 = SJ 2018 I 397 ; A. BONARD, Expulsion pénale : la mise en œuvre de l'initiative sur le renvoi, questions choisies et premières jurisprudences, in Forumpoenale 5/2017 p. 315 ; G. FIOLKA / L. VETTERLI, Die Landesverweisung in Art. 66a ff StGB als strafrechtliche Sanktion, in Plädoyer 5/2016 p. 84). 4.1.2. Selon l'al. 2 de cette disposition, il peut néanmoins être renoncé à l'expulsion, exceptionnellement, lorsque celle-ci mettrait l'étranger dans une situation personnelle grave et que les intérêts public à l'expulsion ne l'emportent pas sur son intérêt à demeurer en Suisse, la situation de celui qui est né et a grandi en Suisse méritant une prise en compte particulière.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(arrêts du Tribunal fédéral 6B_1027/2018 du 7 novembre</w:t>
      </w:r>
    </w:p>
    <w:p>
      <w:r>
        <w:t>- 10/14 - P/4715/2018 2018 consid. 1.4 ; 6B_724/2018 du 30 octobre 2018 consid. 2.3.2 ; 6B_371/2018 du 21 août 2018 consid. 2.5). La reconnaissance d'un cas de rigueur ne se résume pas à la simple constatation des potentielles conditions de vie dans le pays d'origine ou du moins la comparaison entre les conditions de vie en Suisse et dans le pays d'origine, mais aussi à la prise en considération des éléments de la culpabilité ou de l'acte (M. BUSSLINGER / P. UEBERSAX, op. cit., p. 101 ; G. FIOLKA / L. VETTERLI, op. cit., p. 87 ; AARP/185/2017 du 2 juin 2017 consid. 2.2).</w:t>
      </w:r>
    </w:p>
    <w:p>
      <w:r>
        <w:rPr>
          <w:b/>
        </w:rPr>
        <w:t>E. 4.2</w:t>
      </w:r>
    </w:p>
    <w:p>
      <w:r>
        <w:t>En l'espèce, l'ALCP, plaidé par la défense, ne lui est d'aucun recours puisqu'il ne dispose en l'état d'aucun titre de séjour en Suisse (arrêt 6B_1152/2017 du 28 novembre 2018 consid. 2.5). Cela étant, il y a lieu de retenir que l'appelant, ressortissant européen de nationalité espagnole, est né en Suisse où il a vécu de manière ininterrompue, au bénéfice d'un permis d'établissement jusqu'en 2004, soit jusqu'à ses 36 ans. Il a suivi sa scolarité en Suisse, jusqu'au niveau gymnasial, qu'il n'a cependant pas terminé, avant d'y travailler plusieurs années de manière relativement stable. Il a certes ensuite connu une période plus chaotique, et connu le chômage et l'aide sociale, avant de décider d'aller vivre en Espagne où il a semble-t-il travaillé de manière stable pendant trois ans. Il est néanmoins régulièrement revenu en Suisse où il bénéficie du soutien de son frère, qui l'a hébergé à sa sortie de prison, et de sa tante, qui est régulièrement venue lui rendre visite pendant sa détention. A teneur du dossier, il n'a en Espagne pour toute parenté que sa mère, âgée de 80 ans. Il indique que son réseau d'amis se situe en Suisse. Il n'a en outre qu'une seule condamnation au casier judiciaire suisse en lien avec une infraction du catalogue de l’art. 66a al. 1 CP et n'en a pas d'autres, de sorte qu'il ne peut pas en l'état être considéré qu'il est durablement ancré dans la délinquance. Compte tenu par ailleurs de la relative gravité des faits aujourd'hui jugés qui n'ont porté atteinte ni à la vie ni à l'intégrité physique d'autrui, le principe de la proportionnalité amène à retenir que l'intérêt public à l'expulsion ne l'emporte pas, dans le cas d'espèce, sur l'intérêt privé de l'étranger à demeurer en Suisse. Il sera donc renoncé à prononcer l'expulsion de l'appelant, en application de l'art. 66a al. 2 CP.</w:t>
      </w:r>
    </w:p>
    <w:p>
      <w:r>
        <w:rPr>
          <w:b/>
        </w:rPr>
        <w:t>E. 5</w:t>
      </w:r>
    </w:p>
    <w:p>
      <w:r>
        <w:t>Selon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Dès lors que la peine prononcée par le premier juge a été confirmée, ces prétentions doivent être rejetées.</w:t>
      </w:r>
    </w:p>
    <w:p>
      <w:r>
        <w:t>- 11/14 - P/4715/2018</w:t>
      </w:r>
    </w:p>
    <w:p>
      <w:r>
        <w:rPr>
          <w:b/>
        </w:rPr>
        <w:t>E. 6.1</w:t>
      </w:r>
    </w:p>
    <w:p>
      <w:r>
        <w:t>Compte tenu de l'acquittement partiel dont l'appelant a bénéficié devant le Tribunal, il se justifiait de lui faire supporter la moitié des frais de la procédure de première instance, de sorte que le jugement sera modifié sur ce point (art. 426 CPP).</w:t>
      </w:r>
    </w:p>
    <w:p>
      <w:r>
        <w:rPr>
          <w:b/>
        </w:rPr>
        <w:t>E. 6.2</w:t>
      </w:r>
    </w:p>
    <w:p>
      <w:r>
        <w:t>L'appelant, qui obtient partiellement gain de cause, supportera les 2/3 des frais de la procédure d'appel envers l'Etat, comprenant un émolument d'arrêt de CHF 2'000.- (art. 428 CPP et art. 14 al. 1 let. e du Règlement fixant le tarif des frais en matière pénale ; E 4 10.03).</w:t>
      </w:r>
    </w:p>
    <w:p>
      <w:r>
        <w:rPr>
          <w:b/>
        </w:rPr>
        <w:t>E. 7.1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de CHF 200.- pour les chefs d'étude. En cas d'assujettissement, l'équivalent de la TVA est versé en sus.</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d'actes procéduraux simples,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7.2</w:t>
      </w:r>
    </w:p>
    <w:p>
      <w:r>
        <w:t>En l'espèce, l'état de frais produit par Me B______, sera pris en considération comme paraissant adéquat sous réserve d'une part du temps consacré à la rédaction de l'annonce et de la déclaration d'appel, celui-ci étant compris dans le forfait pour activités diverses, forfait qu'il y a lieu de fixer à 20% eu égard à l'activité déployée, et sous réserve d'autre part du temps d'étude du dossier qui paraît excessif dans la mesure où le dossier était déjà connu du conseil de l'appelant pour l'avoir déjà plaidé en première instance. Quant à la durée de l'audience d'appel, celle-ci a été arrêtée à une heure. Ainsi, l'indemnité sera arrêtée à CHF 2'304,80, correspondant à 8h30 d'activité de cheffe d'étude au tarif de CHF 200.-/heure, plus la majoration forfaitaire de 20 % (CHF 340.-), la vacation (CHF 100.-) ainsi que l'équivalent de la TVA au taux de 7.7% (CHF 164,80).</w:t>
      </w:r>
    </w:p>
    <w:p>
      <w:r>
        <w:t>* * * * *</w:t>
      </w:r>
    </w:p>
    <w:p>
      <w:r>
        <w:t>- 12/14 - P/4715/2018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