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AARP/112/2016 vom 24. März 2016</w:t>
      </w:r>
    </w:p>
    <w:p>
      <w:r>
        <w:t>GE Cour de justice, 2016-03-24, FR</w:t>
      </w:r>
    </w:p>
    <w:p>
      <w:r>
        <w:rPr>
          <w:b/>
        </w:rPr>
        <w:t xml:space="preserve">Quelle: </w:t>
      </w:r>
      <w:r>
        <w:t>https://mcp.opencaselaw.ch/entscheid/ge_gerichte_AARP_112_2016</w:t>
      </w:r>
    </w:p>
    <w:p>
      <w:r>
        <w:t>FR: GE_GERICHTE AARP/112/2016 du 24 mars 2016</w:t>
      </w:r>
    </w:p>
    <w:p>
      <w:r>
        <w:t>IT: GE_GERICHTE AARP/112/2016 del 24 marzo 2016</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en l'espèce été formée par-devant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Ministère public du 27 janvier 2014, formée le 25 janvier 2016, est fondée sur l'art. 410 al. 1 let. a CPP, de sorte qu'elle est recevable au regard de ces dispositions.</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 arrêt du Tribunal fédéral 6B_36/2014 du 6 mai 2014 consid. 1.2.1). Les faits ou moyens de preuve sont sérieux lorsqu'ils sont propres à ébranler les constatations de fait sur lesquelles se fonde la condamnation et que l'état de fait ainsi modifié rend possible un jugement sensiblement plus favorable au condamné (ATF 130 IV 72 consid. 1 p. 73).</w:t>
      </w:r>
    </w:p>
    <w:p>
      <w:r>
        <w:rPr>
          <w:b/>
        </w:rPr>
        <w:t>E. 2.2</w:t>
      </w:r>
    </w:p>
    <w:p>
      <w:r>
        <w:t>Les conditions d'une révision visant une ordonnance pénale sont restrictives. L'ordonnance pénale est rendue dans le cadre d'une procédure spéciale. Elle a pour spécificité de contraindre le condamné à prendre position. Une absence de réaction</w:t>
      </w:r>
    </w:p>
    <w:p>
      <w:r>
        <w:t>- 5/10 - P/1586/2016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2.2 p. 75). Une demande de révision d'une ordonnance pénale doit ainsi être qualifiée d'abusive lorsqu'elle repose sur des faits qui étaient connus du prévenu dès l'origine, que l'intéressé a tus sans motif digne de protection et qu'il aurait pu invoquer dans le cadre d'une procédure ordinaire diligentée sur opposition de sa part. En revanche, la révision d'une ordonnance pénale peut être envisagée à raison de faits ou de moyens de preuve importants que le prévenu ne connaissait pas au moment du prononcé de la décision considérée, qu'il était dans l'impossibilité de faire valoir à l'époque ou qu'il n'avait aucune raison d'avancer à ce moment (ATF 130 IV 72 consid. 2.3 p. 75 s. ; arrêts du Tribunal fédéral 6B_864/2014 du 16 janvier 2015 consid. 1.3.3 ; 6B_1138/2014 du 16 janvier 2015 consid. 1.3 et 6B_310/2011 du 20 juin 2011 consid. 1.3).</w:t>
      </w:r>
    </w:p>
    <w:p>
      <w:r>
        <w:rPr>
          <w:b/>
        </w:rPr>
        <w:t>E. 2.3</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Traité de procédure pénale suisse, 3e éd., Zurich 2011, n. 2108). L'examen préalable sert avant tout à constater si les motifs invoqués à l'appui de la demande de révision sont vraisemblables (Message relatif à l'unification du droit de la procédure pénale (CPP) du 21 décembre 2005, FF 2006 1057 ss, 1305 ; A DONATSCH / T. HANSJAKOB / V. LIEBER (éds), Kommentar zur Schweizerischen Strafprozessordnung (StPO), 2e éd., Zurich 2014, n. 1 ad art. 412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du Tribunal fédéral 6B_ 414/2014 du 25 septembre 2014 consid. 1.2 ; 6B_36/2014 du 6 mai 2014 consid. 2.1 et 6B_415/2012 du 14 décembre 2012 consid. 1.1). Le CPP ne précise pas si, dans ce cas, il convient de consulter préalablement les parties ; une prise de position de leur</w:t>
      </w:r>
    </w:p>
    <w:p>
      <w:r>
        <w:t>- 6/10 - P/1586/2016 part n'apparaît pas nécessaire, mais peut être souhaitable dans les cas douteux (arrêt du Tribunal fédéral 6B_415/2012 du 14 décembre 2012 consid. 1.1).</w:t>
      </w:r>
    </w:p>
    <w:p>
      <w:r>
        <w:rPr>
          <w:b/>
        </w:rPr>
        <w:t>E. 2.4</w:t>
      </w:r>
    </w:p>
    <w:p>
      <w:r>
        <w:t>En l'espèce, le demandeur explique qu'il n'aurait appris que par le courriel du 10 novembre 2015 et la décision d'aide d'urgence subséquente que son séjour en Suisse était toléré depuis le 13 octobre 2011. Or, comme il le relève lui-même, ce n'est pas ce courriel qui fonde son droit (temporaire) à demeurer sur le territoire suisse et constitue dès lors le fait sérieux susceptible de conduire à son acquittement du chef de séjour illégal, mais le fait qu'il a déposé, en octobre 2011, une demande d'autorisation de séjour pour motifs familiaux sur laquelle il n'a pas encore été statué. Le courriel du 10 novembre 2015 et l'attestation d'aide d'urgence ne viennent que confirmer l'existence de cette demande et attester que, jusqu'à droit connu, le demandeur est autorisé à rester en Suisse. Au moment de recevoir l'ordonnance pénale du 27 janvier 2014, le demandeur savait qu'il avait déposé cette demande d'autorisation de séjour, qu'aucune décision n'avait été prise à ce sujet et que, dans l'attente de celle-ci, il pouvait éventuellement demeurer en Suisse. En d'autres termes, le moyen de prouver la régularité du séjour existait déjà et le requérant en avait connaissance. Il ne prétend pas avoir évoqué ce fait devant le Ministère public et ne fournit aucune explication sur son abstention de produire ce moyen de preuve. S'il estimait que le Ministère public aurait dû s'enquérir plus avant de la situation car il avait fait mention de liens familiaux en Suisse, il lui appartenait de contester l'ordonnance pénale selon la procédure ordinaire. Dans ces conditions, la demande de révision apparaît comme un moyen de contourner la voie de droit ordinaire, que le requérant a d'ailleurs su utiliser pour contester l'ordonnance pénale du 11 février 2014. Il convient par conséquent de la déclarer irrecevable, sans plus ample examen de son bien-fondé.</w:t>
      </w:r>
    </w:p>
    <w:p>
      <w:r>
        <w:rPr>
          <w:b/>
        </w:rPr>
        <w:t>E. 3.1</w:t>
      </w:r>
    </w:p>
    <w:p>
      <w:r>
        <w:t>Le demandeur, qui succombe, supportera les frais de la procédure de révision, lesquels comprennent un émolument de CHF 800.- (art. 428 CPP et art. 14 al. 1 let. e du Règlement fixant le tarif des frais en matière pénale [E 4 10.03]).</w:t>
      </w:r>
    </w:p>
    <w:p>
      <w:r>
        <w:rPr>
          <w:b/>
        </w:rPr>
        <w:t>E. 3.2</w:t>
      </w:r>
    </w:p>
    <w:p>
      <w:r>
        <w:t>Vu l'issue de la procédure, les prétentions en indemnisation du demandeur seront rejetées (art. 436 al. 4 CPP a contrario).</w:t>
      </w:r>
    </w:p>
    <w:p>
      <w:r>
        <w:rPr>
          <w:b/>
        </w:rPr>
        <w:t>E. 4</w:t>
      </w:r>
    </w:p>
    <w:p>
      <w:r>
        <w:t>décembre 2013 consid. 3/4.2-4.4).</w:t>
      </w:r>
    </w:p>
    <w:p>
      <w:r>
        <w:rPr>
          <w:b/>
        </w:rPr>
        <w:t>E. 4.1</w:t>
      </w:r>
    </w:p>
    <w:p>
      <w:r>
        <w:t>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w:t>
      </w:r>
    </w:p>
    <w:p>
      <w:r>
        <w:t>- 7/10 - P/1586/2016 Ainsi, les intérêts du prévenu justifient une défense d'office lorsque la cause n'est pas de peu de gravité et qu'elle présente, sur le plan des faits ou du droit, des difficultés que le prévenu seul ne pourrait pas surmonter (art. 132 al. 2 CPP). Vu la formulation exemplative de l'art. 132 al. 3 CPP, d'autres situations que la gravité de la peine encourue paraissent pouvoir entrer en considération. Pour évaluer si l'affaire présente des difficultés que le prévenu ne pourrait pas surmonter sans l'aide d'un avocat, il y a lieu d'apprécier l'ensemble des circonstances concrètes. Il faut tenir compte notamment des capacités du requérant, de son expérience dans le domaine juridique ainsi que des mesures qui paraissent nécessaires, dans le cas particulier, pour assurer sa défense, notamment en ce qui concerne les preuves qu'il devra offrir (ATF 115 Ia 103 consid. 4 p. 105 ; ACPR/64/2014 du 29 janvier 2014).</w:t>
      </w:r>
    </w:p>
    <w:p>
      <w:r>
        <w:rPr>
          <w:b/>
        </w:rPr>
        <w:t>E. 4.2</w:t>
      </w:r>
    </w:p>
    <w:p>
      <w:r>
        <w:t>En l'espèce, l'octroi de l'aide d'urgence au demandeur est un indice de son indigence. La direction de la procédure estime par ailleurs que la procédure spécifique de la révision présente des difficultés que le demandeur, sans formation juridique, n'est pas à même de surmonter sans l'aide d'un conseil.</w:t>
      </w:r>
    </w:p>
    <w:p>
      <w:r>
        <w:t>Il sera par conséquent fait droit à sa demande d'assistance judiciaire et Me X______ désigné défenseur d'office.</w:t>
      </w:r>
    </w:p>
    <w:p>
      <w:r>
        <w:rPr>
          <w:b/>
        </w:rPr>
        <w:t>E. 4.3</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4.4.1.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4.4.2. A teneur de la jurisprudence, est décisif pour fixer la rémunération de l'avocat, le nombre d'heures nécessaires pour assurer la défense d'office du prévenu (arrêt du</w:t>
      </w:r>
    </w:p>
    <w:p>
      <w:r>
        <w:t>- 8/10 - P/1586/2016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4.4.3.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4.4.4.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w:t>
      </w:r>
    </w:p>
    <w:p>
      <w:r>
        <w:rPr>
          <w:b/>
        </w:rPr>
        <w:t>E. 4.5</w:t>
      </w:r>
    </w:p>
    <w:p>
      <w:r>
        <w:t>En l'occurrence, considéré dans sa globalité, l'état de frais produit par le défenseur d'office de A______ paraît adéquat et conforme aux principes qui précèdent, de sorte qu'il n'est pas nécessaire de reprendre le détail des postes qui le composent. Aussi, l'indemnité sera arrêtée à CHF 1'857.60 correspondant à 7h10 d'activité au tarif de CHF 200.-/heure (majoration forfaitaire de 20% [CHF 286.67] et TVA à 8% [CHF 137.60] incluses). * * * * *</w:t>
      </w:r>
    </w:p>
    <w:p>
      <w:r>
        <w:t>- 9/10 - P/1586/2016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