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AARP/111/2022 vom 25. April 2022</w:t>
      </w:r>
    </w:p>
    <w:p>
      <w:r>
        <w:t>GE Cour de justice, 2022-04-25, FR</w:t>
      </w:r>
    </w:p>
    <w:p>
      <w:r>
        <w:rPr>
          <w:b/>
        </w:rPr>
        <w:t xml:space="preserve">Quelle: </w:t>
      </w:r>
      <w:r>
        <w:t>https://mcp.opencaselaw.ch/entscheid/ge_gerichte_AARP_111_2022</w:t>
      </w:r>
    </w:p>
    <w:p>
      <w:r>
        <w:t>FR: GE_GERICHTE AARP/111/2022 du 25 avril 2022</w:t>
      </w:r>
    </w:p>
    <w:p>
      <w:r>
        <w:t>IT: GE_GERICHTE AARP/111/2022 del 25 aprile 2022</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2.1</w:t>
      </w:r>
    </w:p>
    <w:p>
      <w:r>
        <w:t>Conformément à l'art. 66a al. 1 CP, le juge expulse un étranger du territoire suisse pour une durée de cinq à quinze ans s'il est reconnu coupable de l'une des infractions énumérées aux let. a à p, notamment en cas de condamnation pour infraction grave à la loi fédérale sur les stupéfiants (let. o). Conformément à l'al. 2 de cette disposition,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2.2.1. L'art. 66a al. 2 CP définit une "Kannvorschrift", en ce sens que le juge n'a pas l'obligation de renoncer à l'expulsion, mais peut le faire si les conditions fixées par cette disposition sont remplies. Ces conditions sont cumulatives et s'interprètent de manière restrictive. Afin de pouvoir renoncer à une expulsion prévue par l'art. 66a al. 1 CP, il faut donc que cette mesure mette l'étranger dans une situation personnelle grave et que l'intérêt public soit de peu d'importance, c'est-à-dire que les intérêts</w:t>
      </w:r>
    </w:p>
    <w:p>
      <w:r>
        <w:t>- 8/16 - P/10445/2018 publics à l'expulsion ne l'emportent pas sur l'intérêt privé de l'étranger à demeurer en Suisse. Pour déterminer les intérêts publics au sens de cette disposition et les pondérer par rapport aux intérêts privés, la nature et la gravité de l'infraction commise, la dangerosité que représente l'auteur pour la sécurité publique et le pronostic concernant le risque de récidive sont au premier plan. Le fait que la clause de rigueur soit une norme potestative ne signifie pas que le juge pénal pourrait librement décider d'appliquer ou non l'exception de l'art. 66a al. 2 CP. Le juge doit ainsi renoncer à l'expulsion lorsque les conditions de l'art. 66a al. 2 CP sont réunies, conformément au principe de proportionnalité (ATF 146 IV 105 consid. 3.4.2 p. 108 ; 144 IV 332 consid. 3.3 ; arrêt du Tribunal fédéral 6B_914/2020 du 26 avril 2021 consid. 1.6.1 et les références citées). La loi ne définit pas ce qu'il faut entendre par une « situation personnelle grave » (première condition cumulative) ni n'indique les critères à prendre en compte dans la pesée des intérêts (seconde condition cumulative). En recourant à la notion de cas de rigueur dans le cadre de l'art. 66a al. 2 CP, le législateur a fait usage d'un concept ancré depuis longtemps dans le droit des étrangers.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et de la jurisprudence y relative. Cette disposition prévoit qu'une autorisation de séjour peut être octroyée dans les cas individuels d'extrême gravité. Elle commande de tenir compte notamment de l'intégration du requérant, du respect de l'ordre juridique suisse,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consid. 3.3.1 et 3.3.2). 2.2.2.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la Constitution fédérale de la Confédération suisse [Cst.]) et par le droit international, en particulier l'art. 8 de la Convention de sauvegarde des droits de l'homme et des libertés fondamentales (CEDH) (arrêt du Tribunal fédéral 6B_1192/2018 du 23 janvier 2019 consid. 2.1.2 et références citées). 2.2.3. Un étranger peut se prévaloir de l'art. 8 par. 1 CEDH (et de l'art. 13 Cst.) pour s'opposer à l'éventuelle séparation de sa famille, pour autant qu'il entretienne une relation étroite et effective avec une personne de sa famille ayant le droit de résider</w:t>
      </w:r>
    </w:p>
    <w:p>
      <w:r>
        <w:t>- 9/16 - P/10445/2018 durablement en Suisse (ATF 144 I 1 consid. 6.1). La présence d'une famille en Suisse, soit d'une épouse/concubine et d'un enfant, ne peut, à elle seule, commander l'application automatique de la clause de rigueur (arrêts du Tribunal fédéral 6B_322/2021 du 2 mars 2022 consid. 5.3 et 5.5 ; 6B_143/2019 du 6 mars 2019 consid. 3.4.2). 2.2.4. Dans un arrêt récent, le Tribunal fédéral a confirmé l'expulsion d'une femme ayant été condamnée pour tentative de meurtre, alors que sa responsabilité pénale était moyennement restreinte du fait d'un retard mental, d'un bouleversement émotionnel et de l'abus de toxiques. Le Tribunal fédéral a rappelé au passage que l'art. 66a al. 3 CP contient une énumération exhaustive des circonstances atténuantes permettant de renoncer à une expulsion (arrêt du Tribunal fédéral 6B_1035/2021 du 16 décembre 2021 consid. 3.6 ; ATF 144 IV 168 consid. 1.4.2).</w:t>
      </w:r>
    </w:p>
    <w:p>
      <w:r>
        <w:rPr>
          <w:b/>
        </w:rPr>
        <w:t>E. 2.3</w:t>
      </w:r>
    </w:p>
    <w:p>
      <w:r>
        <w:t>En l'espèce, compte tenu de la confirmation du verdict de culpabilité de l'appelant pour les chefs de tentative de meurtre, séquestration, contrainte sexuelle et viol, son expulsion de Suisse doit être ordonnée, sous réserve de la réalisation de la clause de rigueur. Or, il n'apparaît pas que son expulsion soit de nature à le mettre dans une situation personnelle grave ni que son intérêt privé l'emporte sur celui de la Suisse à le voir expulsé. En effet, depuis son arrivée en Suisse en 2007, l'appelant n'a pas développé de réseau social ou professionnel, outre son mariage en 2011 avec la mère de ses enfants. Son intégration peut être considérée comme inexistante, alors qu'il a passé plus de 11 ans à Genève avant son incarcération. Vu le contenu du dossier et la nature des faits qui lui sont reprochés, il ne peut être retenu que l'appelant aurait incarné une figure paternelle pour ses enfants, ni qu'il aurait eu une relation suivie avec eux, ce d'autant que les deux cadettes n'avaient pas encore deux ans au moment de son incarcération. À cela s'ajoute que la mère de l'appelant et la majeure partie de sa famille résident toujours au Maroc, pays avec lequel il a conservé un lien fort puisqu'il y a rapatrié son épouse et ses quatre enfants entre 2017 et 2018 et qu'il souhaite y retourner, à terme. Selon les rapports médicaux produits par l'appelant, son état se serait stabilisé consécutivement à la prise de son traitement et il n'y aurait plus eu d'épisode psychotique depuis l'arrêt de celui-ci, soit depuis plusieurs mois. L'appelant ne saurait cependant se prévaloir d'une éventuelle "guérison" pour justifier l'absence d'intérêt public à son expulsion. En effet, bien que les documents produits attestent d'une amélioration de son état, rien ne permet d'arriver à une telle conclusion, ce d'autant qu'aucun diagnostic ne semble finalement avoir été posé et qu'à teneur du</w:t>
      </w:r>
    </w:p>
    <w:p>
      <w:r>
        <w:t>- 10/16 - P/10445/2018 rapport de suivi médico-psychologique établi en mai 2021, la rémission rapide et complète des symptômes psychotiques dans le cadre d'un trouble délirant n'est guère habituelle. Quoiqu'en dise l'appelant, l'intérêt public présidant à son expulsion est très important, compte tenu de la nature et de la gravité des infractions commises. Il doit par ailleurs être tenu compte des nombreux antécédents de l'appelant et du risque élevé de récidive d'actes de violence qu'il présentait avant la prise de son traitement, ainsi que l'ont souligné les experts. Bien qu'un tel risque s'avère amoindri du fait de son évolution favorable, un nouveau passage à l'acte ne peut être exclu, en particulier en cas de consommation importante d'alcool et d'autres toxiques, comme l'ont relevé ses psychologues. En définitive, la seule présence de ses enfants – avec lesquels il n'a plus aucun contact depuis plusieurs années – sur sol helvétique ne suffit pas pour l'emporter sur l'intérêt public à son expulsion, l'appelant s'étant rendu coupable d'infractions sérieuses contre l'intégrité sexuelle et physique ainsi que contre la liberté. Il ne saurait se prévaloir du respect du droit à sa vie privée au sens de l'art. 8 CEDH en l'absence d'une quelconque intégration en Suisse, étant rappelé que la présence d'un enfant mineur ne suffit pas à elle seule à faire prévaloir l'intérêt privé à demeurer en Suisse et que la relation pourra être maintenue, lors de séjours de l'appelant en Suisse, selon des modalités à définir par les autorités compétentes ainsi que grâce aux moyens de communication modernes. Au vu de l'ensemble de ces éléments, l'appelant ne se trouve pas dans une situation personnelle grave et l'intérêt public à son expulsion, compte tenu des infractions commises, l'emporte clairement sur son intérêt privé à demeurer en Suisse. Rien ne permet de supposer que sa réintégration dans son pays d'origine serait compromise, ce d'autant qu'il a lui-même indiqué vouloir retourner vivre au Maroc. En l'absence de réalisation des conditions de la clause de rigueur, aucun examen de la proportionnalité n'est nécessaire. La durée de cinq ans fixée en première instance apparaît comme pondérée aux circonstances du cas d'espèce. Infondé, l'appel doit être rejeté sur ce point et l'expulsion de l'appelant pour une durée de cinq ans confirmée, tout comme son inscription dans le système d'information Schengen (SIS) (art. 20 de l'ordonnance N-SIS).</w:t>
      </w:r>
    </w:p>
    <w:p>
      <w:r>
        <w:rPr>
          <w:b/>
        </w:rPr>
        <w:t>E. 3</w:t>
      </w:r>
    </w:p>
    <w:p>
      <w:r>
        <w:t>L'appelant, qui succombe, supportera les frais de la procédure envers l'Etat (art. 428 CPP), comprenant un émolument de décision de CHF 1'000.-.</w:t>
      </w:r>
    </w:p>
    <w:p>
      <w:r>
        <w:t>- 11/16 - P/10445/2018</w:t>
      </w:r>
    </w:p>
    <w:p>
      <w:r>
        <w:rPr>
          <w:b/>
        </w:rPr>
        <w:t>E. 4.1</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est arrêtée à CHF 100.- pour les chefs d'étude, dite rémunération étant allouée d'office par la juridiction d'appel pour les débats devant elle.</w:t>
      </w:r>
    </w:p>
    <w:p>
      <w:r>
        <w:rPr>
          <w:b/>
        </w:rPr>
        <w:t>E. 4.2</w:t>
      </w:r>
    </w:p>
    <w:p>
      <w:r>
        <w:t>Considéré globalement, l'état de frais produit par Me C______, défenseure d'office de A______, satisfait les exigences légales et jurisprudentielles régissant l'assistance judiciaire gratuite en matière pénale. L'état de frais sera majoré de 75 minutes pour tenir compte de la durée de l'audience ainsi que d'un forfait vacation. Au regard des heures déjà indemnisées en première instance, le forfait sera réduit à 10%. La rémunération de Me C______ sera partant arrêtée à CHF 996.25 correspondant à trois heures et 45 minutes d'activité au tarif de CHF 200.-/heure (CHF 750.-), plus la majoration forfaitaire de 10% (CHF 75.-), le déplacement à l'audience d'appel (CHF 100.-) et l'équivalent de la TVA au taux de 7.7% en CHF 71.25. * * * * *</w:t>
      </w:r>
    </w:p>
    <w:p>
      <w:r>
        <w:t>- 12/16 - P/10445/2018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