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AARP/111/2016 vom 21. März 2016</w:t>
      </w:r>
    </w:p>
    <w:p>
      <w:r>
        <w:t>GE Cour de justice, 2016-03-21, FR</w:t>
      </w:r>
    </w:p>
    <w:p>
      <w:r>
        <w:rPr>
          <w:b/>
        </w:rPr>
        <w:t xml:space="preserve">Quelle: </w:t>
      </w:r>
      <w:r>
        <w:t>https://mcp.opencaselaw.ch/entscheid/ge_gerichte_AARP_111_2016</w:t>
      </w:r>
    </w:p>
    <w:p>
      <w:r>
        <w:t>FR: GE_GERICHTE AARP/111/2016 du 21 mars 2016</w:t>
      </w:r>
    </w:p>
    <w:p>
      <w:r>
        <w:t>IT: GE_GERICHTE AARP/111/2016 del 21 marzo 2016</w:t>
      </w:r>
    </w:p>
    <w:p>
      <w:pPr>
        <w:pStyle w:val="Heading2"/>
      </w:pPr>
      <w:r>
        <w:t>Erwägungen</w:t>
      </w:r>
    </w:p>
    <w:p>
      <w:r>
        <w:rPr>
          <w:b/>
        </w:rPr>
        <w:t>E. 1</w:t>
      </w:r>
    </w:p>
    <w:p>
      <w:r>
        <w:t>L'appel a été interjeté dans les délais prescrits et comporte les mentions exigées par la loi (art. 398 et 399 CPP).</w:t>
      </w:r>
    </w:p>
    <w:p>
      <w:r>
        <w:t>Toutefois, l'appelant n'a pas qualité pour contester la rémunération du défenseur d'office de l'intimée selon l'art. 135 CPP ou, en cas de confirmation du verdict d'acquittement, l'indemnisation allouée au titre de l'art. 429 CPP. Il n'est en effet pas touché dans ses intérêts par ces décisions (art. 382 al. 1 CPP).</w:t>
      </w:r>
    </w:p>
    <w:p>
      <w:r>
        <w:t>L'appel n'est ainsi que partiellement recevable.</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w:t>
      </w:r>
    </w:p>
    <w:p>
      <w:r>
        <w:t>- 11/22 - P/13809/2010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Par ailleurs, quel que soit le stade de la procédure, il n'y a pas lieu d'administrer des preuves sur des faits non pertinents, notoires, connus de l'autorité pénale ou déjà suffisamment prouvés (art. 139 al. 2 CPP).</w:t>
      </w:r>
    </w:p>
    <w:p>
      <w:r>
        <w:rPr>
          <w:b/>
        </w:rPr>
        <w:t>E. 2.3</w:t>
      </w:r>
    </w:p>
    <w:p>
      <w:r>
        <w:t>Selon l'art. 140 CPP, qui consacre une facette du droit au respect de la dignité et du procès équitable au sens des art. 3 CPP et 3 de la Convention de sauvegarde des droits de l'homme et des libertés fondamentales du 4 novembre 1950 (CEDH ; RS 0.101) les autorités pénales ne sauraient recourir à des moyens déloyaux pour recueillir des preuves, soit les moyens de contrainte, le recours à la force, les menaces, les promesses, la tromperie ou les moyens susceptibles de restreindre les facultés intellectuelles ou le libre arbitre, et ce même si la personne concernée a consenti à leur mise en œuvre. Est ainsi exprimé le noyau central du régime de la poursuite pénale qui est la protection de la libre volonté (A. DONATSCH / T. HANSJAKOB / V. LIEBER (éds), op. cit. n 1 ad art. 140). Les considérants qui précèdent sont également opposables aux particuliers (A. KUHN / Y. JEANNERET (éds), Commentaire romand : Code de procédure pénale suisse, Bâle 2011, n. 5 ad art. 140).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w:t>
      </w:r>
    </w:p>
    <w:p>
      <w:r>
        <w:t>- 12/22 - P/13809/2010 cette disposition, on a affaire à une règle de validité (ATF 139 IV 128 consid. 1.6 p. 134 ; Message relatif à l'unification du droit de la procédure pénale (CPP) du 21 décembre 2005, FF 2006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 131 272 consid. 4.1.2 p. 279 ; 137 I 218 consid. 2.3.4 p. 223 ; arrêts du Tribunal fédéral 6B_323/2013 du 3 juin 2013 consid. 3.5 ; 6B_490/2013 du 14 octobre 2013 consid. 2.4). Si un moyen de preuve est recueilli grâce à une preuve qui n'est pas exploitable, au sens de l'art. 141 al. 2 CPP, il ne l'est pas non plus lorsqu'il n'aurait pas pu être recueilli sans l'administration de cette première preuve (al. 3). Dans un arrêt rendu en matière civile (ATF 140 III 6 consid. 3.1 p. 8), le Tribunal fédéral a considéré que les règles professionnelles énumérées à l'art. 12 de la Loi fédérale sur la libre circulation des avocats du 23 juin 2000 (LLCA - RS 935.61) constituent des normes dont la violation peut rendre une preuve illicite.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Telle est le cas du non-respect d'une clause de confidentialité et l'utilisation en procédure du contenu de pourparlers transactionnels constitutif d'une violation de l'obligation résultant de l'art. 12 let. a LLCA. En effet,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Aucun motif ne justifie que l'on retienne que la protection admise par le Tribunal fédéral sur le plan civil aurait une portée moindre en matière pénale, sous réserve du cas de l'art. 141 al. 2 in fine CPP. 2.4.1. Il n'était pas clair à l'audience si l'appelant persistait dans l'ensemble de ses réquisitions de preuve ou uniquement celles tendant à l'audition de témoins, ce que paraissait suggérer la référence à la "réouverture des enquêtes". Quoi qu'il en soit, dans le doute, la CPAR a réexaminé l'ensemble des questions tranchées dans l'ordonnance présidentielle du 14 octobre 2015, dont elle a décidé de faire siens les considérants.</w:t>
      </w:r>
    </w:p>
    <w:p>
      <w:r>
        <w:t>- 13/22 - P/13809/2010 2.4.2. Elle retient ainsi que la conclusion tendant à l'apport de la procédure devant la CPR est sans objet, dite procédure faisant partie intégrante du dossier. 2.4.3. De même, la CPAR constate que, sous réserve des deux lettres d'avocat litigieuses, les pièces produites avec la déclaration d'appel figurent déjà au dossier et n'ont donc pas à y être versées derechef, ou portent sur un fait – l'identité des juges du Tribunal pénal – notoire, bien connu d'elle et au besoin librement accessible, sans préjudice de ce que la pertinence en est des plus douteuse. Quant aux courriers précités, ils doivent être assimilés à des preuves illicites, dès lors qu'ils sont frappés des "réserves d'usage", conformément au considérant qui précède. La décision de retourner ces pièces à l'appelant est par conséquent confirmée, quand bien même elle n'a, par erreur, pas été suivie d'effet. 2.4.4. Il n'est pas non plus utile au traitement de l'appel de procéder aux auditions requises. D'une part, il appert que l'appel doit être rejeté, et l'acquittement confirmé, sans autre mesure d'instruction, pour des motifs relevant du droit (infra consid. 3.5.1. et 3.6.1). D'autre part, l'appelant ne démontre toujours pas que les témoins en question seraient susceptibles de déposer sur des faits pertinents pour l'issue de la procédure : il n'indique pas quelles questions il souhaiterait poser au policier et au Juge d'instruction qui ont procédé à des auditions ou à l'ancien avocat de l'intimée, au demeurant tenu par le secret professionnel, en quoi il serait utile d'explorer la situation de l'intimée sous l'angle des poursuites dont elle est l'objet, de ses rapports avec une créancière étrangère à la procédure ainsi que des prestations d'assistance sociale dont elle a pu bénéficier, ou encore d'entendre des témoins de sa propre moralité, étant rappelé qu'il n'est pas prévenu ; l'appelant n'explique pas pourquoi il souhaite entendre le compagnon de l'intimée, alors qu'il reprend à son compte une réquisition de preuve formulée en vain par cette dernière devant le premier juge, de sorte que la demande est, en ce qui concerne l'appelant, également tardive. Enfin, il avait motivé devant le premier juge la requête d'audition de G______ par le fait que celui-ci suivait l'affaire depuis le 30 juin 2010, soit après les faits. Pour sa part, la Cour n'entrevoit pas l'utilité des mesures requises.</w:t>
      </w:r>
    </w:p>
    <w:p>
      <w:r>
        <w:rPr>
          <w:b/>
        </w:rPr>
        <w:t>E. 3.1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w:t>
      </w:r>
    </w:p>
    <w:p>
      <w:r>
        <w:t>- 14/22 - P/13809/2010 Le principe de l'accusation est une composante du droit d'être entendu consacré par l'art. 29 al. 2 Constitution fédérale de la Confédération suisse du 18 avril 1999 [Cst. - RS 10])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w:t>
      </w:r>
    </w:p>
    <w:p>
      <w:r>
        <w:t>- 15/22 - P/13809/2010 parties le plus tôt possible mais au plus tard avant les plaidoiries afin de garantir le respect du droit d'être entendu (A. KUHN / Y. JEANNERET (éds), op. cit. n. 11 ad art. 344 CPP).</w:t>
      </w:r>
    </w:p>
    <w:p>
      <w:r>
        <w:rPr>
          <w:b/>
        </w:rPr>
        <w:t>E. 3.2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3.3</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w:t>
      </w:r>
    </w:p>
    <w:p>
      <w:r>
        <w:t>- 16/22 - P/13809/2010 renoncera à le faire en raison d'un rapport de confiance particulier (ATF 128 IV 18 consid. 3a p. 20 ; arrêts du Tribunal fédéral 6B_564/2009 et 6B_566/2009 du 13 novembre 2009 consid. 3).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La condition du caractère astucieux de la tromperie est réalisée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n'est donc écartée que si la</w:t>
      </w:r>
    </w:p>
    <w:p>
      <w:r>
        <w:t>- 17/22 - P/13809/2010 dupe n'a pas procédé aux vérifications élémentaires que l'on pouvait attendre d'elle au vu des circonstances (ATF 135 IV 76 consid. 5.2).</w:t>
      </w:r>
    </w:p>
    <w:p>
      <w:r>
        <w:rPr>
          <w:b/>
        </w:rPr>
        <w:t>E. 3.4</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Dans le cas particulier d'un prêt, les valeurs patrimoniales ne représentent qu'exceptionnellement des valeurs appartenant à autrui, confiées à l'emprunteur, soit lorsque leur affectation est clairement prédéfinie et sert à assurer la couverture du risque du prêteur ou, à tout le moins, à diminuer son risque de perte. L'affectation convenue doit donc représenter en elle-même une forme de garantie (ATF 129 IV 257 consid. 2.2.3 et 2.3 ; M. DUPUIS / B. GELLER / G. MONNIER / L. MOREILLON / C. PIGUET / C. BETTEX / D. STOLL (éds), Code pénal - Petit commentaire, Bâle 2012, n. 35 ad art. 138). 3.5.1. En l'occurrence, l'ordonnance pénale valant acte d'accusation, ne retenant que la qualification juridique d'abus de confiance, ne contient pas une description des faits pouvant correspondre à l'élément constitutif de la tromperie astucieuse au sens de l'art. 146 CP. Cela s'explique d'ailleurs aisément, par le fait que la Chambre d'accusation avait annulé l'ordonnance de classement uniquement s'agissant de la prévention d'abus de confiance. Dans le respect de la maxime accusatoire, la question de la culpabilité de l'intimée du chef d'escroquerie est partant exclue. 3.5.2. À titre superfétatoire, il sera observé que c'était manifestement à juste titre que la Chambre d'accusation avait constaté, à un stade précoce de la procédure déjà, que la condition de l'astuce n'était pas réalisée, la partie plaignante ne soutenant pas qu'elle aurait été particulièrement fragilisée par la sénilité ou une autre atteinte à la</w:t>
      </w:r>
    </w:p>
    <w:p>
      <w:r>
        <w:t>- 18/22 - P/13809/2010 santé, alors même qu'elle n'avait, de son propre aveu, pas pris les mesures de précautions élémentaires avant de concéder les prêts litigieux. Ayant pris la mesure de cette difficulté, l'appelant soutient pour la première fois dans sa déclaration d'appel que l'intimée avait profité de la faiblesse due à son âge élevé, mais cette affirmation vague et tardive, qui ne trouve aucun écho dans le dossier, ne convainc pas. 3.6.1. La CPAR ne partage en revanche pas l'appréciation de la Chambre d'accusation, dont l'ordonnance ne lie pas le juge du fond, selon laquelle les fonds prêtés par l'appelant, selon ce dernier, pourraient être qualifiés de fonds confiés, dans la mesure où l'affectation prédéfinie aurait permis à celui-ci de bénéficier d'une forme de garantie de remboursement. On ne voit pas en effet comment l'appelant aurait pu se servir sur un bien immobilier appartenant à un tiers, soit le fils de l'emprunteuse, qui plus est sis en France. De même, le projet vague d'acquisition d'un fonds de commerce supposé rémunérateur, sans autre précision si ce n'est qu'il devait s'agir d'une onglerie – sans parler de business plan, il n'y a jamais eu de projections, d'estimation de la clientèle reprise, d'étude des coûts, même l'adresse du supposé commerce demeure inconnue –, ne pouvait représenter aucune forme de garantie. Le verdict d'acquittement de l'intimée doit ainsi être confirmé, pour ce motif déjà que, supposées avérés, les faits dénoncés par l'appelant ne seraient pas constitutifs d'infraction à l'art. 138 ch. 1 al. 2 CP, les valeurs patrimoniales prêtées ne pouvant être qualifiées de confiées, au sens de cette disposition. 3.6.2. Pour le surplus, ici aussi à titre superfétatoire, il sera encore exposé que c'est à raison que le premier juge a retenu qu'il n'était pas possible de déterminer quels avaient été les prêts concédés par l'appelant et quelle en avait été l'affectation. S'il est établi, l'intimée admettant cette circonstance, qu'un montant de CHF 10'000.- lui a été avancé, il subsiste en revanche un doute à tout le moins quant à la question de savoir à quelle fin. L'appelant a en effet varié à ce sujet, affirmant dans sa plainte que la somme devait servir à l'acquisition de l'onglerie, pour déclarer au Juge d'instruction qu'il s'agissait en fait de l'addition de petits prêts et enfin évoquer, à l'audience de jugement, une intention d'aider l'intimée, sachant qu'elle peinait à payer son loyer, avant de se rétracter, sur intervention de son conseil. Pour sa part, l'intimée a toujours affirmé que ce prêt était destiné à lui permettre de solder ses arriérés de loyer et elle a pu établir l'avoir fait, une quinzaine de jours après avoir reçu la somme. Ainsi, s'il est vrai que l'intimée s'est aussi contredite ou a fait des déclarations peu crédibles sur d'autres points, il reste que son récit est plausible sur celui-ci. En ce qui concerne le prêt visé par la seconde reconnaissance de dette, il est pour le moins troublant qu'alors que l'intimée conteste avoir reçu la somme de CHF 40'000.-</w:t>
      </w:r>
    </w:p>
    <w:p>
      <w:r>
        <w:t>- 19/22 - P/13809/2010 ou de 52'000.-, l'appelant fasse un lien avec le retrait de CHF 40'000.- qu'il a effectué le 12 mai 2010, affirmant avoir remis la somme le jour même, contre signature de la reconnaissance de dette, laquelle porte pourtant une date bien postérieure. En outre, ici encore, l'appelant n'a pas été constant, affirmant dans le courrier de son avocat du 14 juillet 2010 que les deux prêts concédés étaient destinés à la réalisation du projet commercial, pour ensuite soutenir que le second devait être affecté au projet de construction du fils de l'intimée, puis enfin expliquer qu'il avait d'abord été question du projet d'onglerie, puis de la construction en France. Sur la base de ces contradictions, il ne peut donc être tenu pour établi ni qu'un prêt a bien été concédé ni, encore moins, qu'il avait une destination précise. 3.6.3. Pour le surplus les vices formels dénoncés par l'appelant concernant le déroulement de la procédure paraissent, dans la mesure, ténue, où ils sont compréhensibles et méritent discussion, dénués de fondement. En particulier, l'appelant ne saurait se plaindre du rythme soi-disant trop soutenu de l'audience de jugement ou d'une mauvaise acoustique de la salle, étant rappelé qu'il était assisté d'un avocat censé pouvoir suivre et entendre. Il n'affirme d'ailleurs pas avoir en vain attiré l'attention du Tribunal de police sur d'éventuelles difficultés particulières. Il se plaint de l'absence d'un interrogatoire "serré" des parties par ledit tribunal, sans prétendre avoir été empêché de pallier ces carences, en posant lui-même les questions opportunes, et ses soupçons de collusion entre le Président du tribunal et le défenseur d'office de l'intimée n'ont été suivis d'aucune demande de récusation. 3.6.4. En conclusion l'appel doit être intégralement rejeté et le jugement confirmé.</w:t>
      </w:r>
    </w:p>
    <w:p>
      <w:r>
        <w:rPr>
          <w:b/>
        </w:rPr>
        <w:t>E. 4</w:t>
      </w:r>
    </w:p>
    <w:p>
      <w:r>
        <w:t>L'appelant, qui succombe, supportera les frais de la procédure d'appel envers l'État (art. 428 CPP), lesquels comprendront un émolument de CHF 2'000.-.</w:t>
      </w:r>
    </w:p>
    <w:p>
      <w:r>
        <w:rPr>
          <w:b/>
        </w:rPr>
        <w:t>E. 5</w:t>
      </w:r>
    </w:p>
    <w:p>
      <w:r>
        <w:t>S'agissant de l'activité antérieure à l'audience, l'état de frais produit par le défenseur d'office de l'intimée paraît globalement adéquat et conforme aux principes pertinents en la matière de sorte qu'il n'est pas nécessaire de reprendre le détail des postes qui le composent. Il convient d'y ajouter une heure pour la durée de l'audience et un forfait de CHF 50.- pour la vacation à celle-ci.</w:t>
      </w:r>
    </w:p>
    <w:p>
      <w:r>
        <w:t>En effet,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w:t>
      </w:r>
    </w:p>
    <w:p>
      <w:r>
        <w:t>- 20/22 - P/13809/2010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Aussi, l'indemnité requise sera-t-elle allouée à concurrence de CHF 1'512.- pour cinq heures et 35 minutes d'activité plus le forfait vacations par CHF 50.- (= CHF 1'166,67 au tarif chef d'étude), la majoration forfaitaire de 20% (CHF 233,33) et la TVA (CHF 112.-). * * * * *</w:t>
      </w:r>
    </w:p>
    <w:p>
      <w:r>
        <w:t>- 21/22 - P/13809/2010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