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AARP/10/2020 vom 20. Juni 2019</w:t>
      </w:r>
    </w:p>
    <w:p>
      <w:r>
        <w:t>GE Cour de justice, 2019-06-20, FR</w:t>
      </w:r>
    </w:p>
    <w:p>
      <w:r>
        <w:rPr>
          <w:b/>
        </w:rPr>
        <w:t xml:space="preserve">Quelle: </w:t>
      </w:r>
      <w:r>
        <w:t>https://mcp.opencaselaw.ch/entscheid/ge_gerichte_AARP_10_2020</w:t>
      </w:r>
    </w:p>
    <w:p>
      <w:r>
        <w:t>FR: GE_GERICHTE AARP/10/2020 du 20 juin 2019</w:t>
      </w:r>
    </w:p>
    <w:p>
      <w:r>
        <w:t>IT: GE_GERICHTE AARP/10/2020 del 20 giugno 2019</w:t>
      </w:r>
    </w:p>
    <w:p>
      <w:pPr>
        <w:pStyle w:val="Heading2"/>
      </w:pPr>
      <w:r>
        <w:t>Erwägungen</w:t>
      </w:r>
    </w:p>
    <w:p>
      <w:r>
        <w:rPr>
          <w:b/>
        </w:rPr>
        <w:t>E. 1.1</w:t>
      </w:r>
    </w:p>
    <w:p>
      <w:r>
        <w:t>L'appel de A______ est recevable pour avoir été interjeté et motivé selon la forme et dans les délais prescrits (art. 398 et 399 du Code de procédure pénale, du</w:t>
      </w:r>
    </w:p>
    <w:p>
      <w:r>
        <w:rPr>
          <w:b/>
        </w:rPr>
        <w:t>E. 1.2</w:t>
      </w:r>
    </w:p>
    <w:p>
      <w:r>
        <w:t>Il sera pris acte du retrait de l'appel de feue C______. Compte tenu des circonstances de ce retrait, il n’y a pas lieu à perception de frais de procédure. 2. 2.1.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w:t>
      </w:r>
    </w:p>
    <w:p>
      <w:r>
        <w:t>- 11/27 - P/24432/2017 des preuves, rien ne s'oppose non plus à ne retenir qu'une partie des déclarations d'un témoin globalement crédible (ATF 120 Ia 31 consid. 3 spéc. p. 39). 2.2.1.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pour le cas où la victime est une femme et qu'il lui est imposé l'acte sexuel proprement dit (art. 190 al. 1 CP). Constitue un acte d'ordre sexuel une activité corporelle sur soi-même ou sur autrui qui tend à l'excitation ou à la jouissance sexuelle de l'un des participants au moins (cf. arrêts du Tribunal fédéral 6B_732/2018 du 18 septembre 2018 consid. 3.1.3 ; 6B_180/2018 du 12 juin 2018 consid. 3.1 ; 6B_35/2017 du 26 février 2018 consid. 4.2). 2.2.2. Le viol et la contrainte sexuelle sont des délits de violence, qui supposent en règle générale une agression physique. Il en résulte que toute pression, tout comportement conduisant à un acte sexuel non souhaité ne saurait être qualifié de contrainte (ATF 133 IV 49 c. 4 p. 52 ; 131 IV 107 consid. 2.2 p. 109 ; arrêt du Tribunal fédéral 6B_1306/2017 du 17 mai 2018 consid. 2.1.2).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ATF 128 IV 97 consid. 2b p. 99, 106 consid. 3a/bb p. 111). En cas d'actes commis à réitérées reprises, il convient d'examiner la situation dans son ensemble.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p. 111 s. ; arrêt du Tribunal fédéral 6B_774/2015 du 22 mai 2015 consid. 4.4.2). 2.2.3. Sur le plan subjectif, l'infraction est intentionnelle, mais le dol éventuel suffit. L'auteur doit savoir que la victime n'est pas consentante ou, du moins, en accepter</w:t>
      </w:r>
    </w:p>
    <w:p>
      <w:r>
        <w:t>- 12/27 - P/24432/2017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tels des pleurs, des demandes d'être laissée tranquille, le fait de se débattre, de refuser de tentatives d'amadouement ou d'essayer de fuir,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 2.2.4. Un concours réel entre le viol et la contrainte sexuelle est concevable si l'acte sexuel et les autres actes d'ordre sexuel sont indépendants les uns des autres, en particulier lorsqu'ils ont été commis à des moments différents (cf. ATF 122 IV 97 consid. 2a p. 99 ; arrêt du Tribunal fédéral 6S_463/2005 du 10 février 2006 consid. 2). En revanche, les actes d'ordre sexuel qui sont commis en étroite liaison avec l'acte sexuel proprement dit, en particulier ceux qui en sont des préliminaires, sont absorbés par le viol (cf. arrêts du Tribunal fédéral 6B_729/2011 du 17 janvier 2012 consid. 1.2 ; 6S_463/2005 du 10 février 2006 consid. 2 ; 6S_334/2003 du</w:t>
      </w:r>
    </w:p>
    <w:p>
      <w:r>
        <w:rPr>
          <w:b/>
        </w:rPr>
        <w:t>E. 5</w:t>
      </w:r>
    </w:p>
    <w:p>
      <w:r>
        <w:t>octobre 2007 [CPP ; RS 312.0]).</w:t>
      </w:r>
    </w:p>
    <w:p>
      <w:r>
        <w:t>La Chambre limite son examen aux violations décrites dans l'acte d'appel (art. 404 al. 1 CPP), sauf en cas de décisions illégales ou inéquitables (art. 404 al. 2 CPP).</w:t>
      </w:r>
    </w:p>
    <w:p>
      <w:r>
        <w:rPr>
          <w:b/>
        </w:rPr>
        <w:t>E. 10</w:t>
      </w:r>
    </w:p>
    <w:p>
      <w:r>
        <w:t>octobre 2003 consid. 3 ; 6S_67/2001 du 22 octobre 2001 consid. 2e). Ainsi, des caresses sur les seins, les jambes ou le sexe dénudé de la victime pourraient être considérés comme des préliminaires ou des actes accessoires antérieurs absorbés par le viol (cf. ATF 99 IV 73 consid. 2b ; arrêt du Tribunal fédéral 6B_153/2016 du</w:t>
      </w:r>
    </w:p>
    <w:p>
      <w:r>
        <w:rPr>
          <w:b/>
        </w:rPr>
        <w:t>E. 14</w:t>
      </w:r>
    </w:p>
    <w:p>
      <w:r>
        <w:t>juin 2016 consid. 1.2). Par contre, selon la jurisprudence, un rapport bucco-génital a un but de satisfaction sexuelle autonome, de sorte que l'on peut retenir le concours réel entre les art. 189 et 190 CP (arrêts du Tribunal fédéral 6B_153/2016 du 14 juin 2016 consid. 1.1 ; 6S_67/2001 du 22 octobre 2001 consid. 2e). 2.3. Le viol et la contrainte sexuelle sont passibles d’une peine privative de liberté de trois ans au moins si l’auteur a agi avec cruauté, notamment s’il a fait usage d’une arme dangereuse ou d’un autre objet dangereux (art. 189 al. 3 et 190 al. 3 CP). La cruauté suppose que l'auteur inflige volontairement, avant ou pendant l'acte, des souffrances physiques ou psychiques particulières qui vont au-delà de ce qui est inhérent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w:t>
      </w:r>
    </w:p>
    <w:p>
      <w:r>
        <w:t>- 13/27 - P/24432/2017 A titre d'exemple de cruauté, les art. 189 al. 3 et 190 al. 3 CP citent l'usage d'une arme ou d'un autre objet dangereux. D'autres circonstances peuvent cependant amener à conclure à la cruauté. Ainsi, lorsque l'auteur serre le cou de la victime avec telle violence que celle-ci en vient à craindre pour sa vie, ou le fait d'étrangler fortement celle-ci, pendant plusieurs minutes et de manière intermittente, ont été retenus comme une marque de cruauté, tout comme lorsque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 Le Tribunal fédéral a également retenu de telles souffrances et, partant, la cruauté dans un cas où l'auteur, après avoir tenté de violer sa victime, lui avait exhibé une scie et une bande adhésive, en menaçant de la tuer avant de la violer, ainsi que dans un cas où, pour violer sa victime, l'auteur avait placé un couteau sous le cou de celle-ci, en menaçant de la blesser si elle ne se laissait pas faire ou encore dans un autre cas où l'auteur avait menacé de planter des ciseaux dans le corps de sa victime (ATF 119 IV 49 ; 119 IV 224 ; arrêts du Tribunal fédéral 6S_463/2005 du 10 février 2006 consid. 3.1, 6P_54/2007 du 13 juillet 2007 consid. 5.1). 2.4.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la personne au lieu où elle se trouve sans droit.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p. 13-14 ; arrêt du Tribunal fédéral 6B_86/2019 du 8 février 2019 consid. 3.1 et les références citées). Si une autre infraction, tel le brigandage, suppose le recours à une certaine contrainte, elle absorbe l'infraction réprimée par l'art. 183 CP, pour autant toutefois que l'atteinte qu'implique cette dernière infraction n'excède pas celle qui résulte de la première. Autrement dit, il n'y a absorption que si l'atteinte à la liberté qu'implique l'infraction réprimée par l'art. 183 CP ne va pas au-delà de celle qui est nécessaire à la commission de l'autre infraction (ATF 129 IV 61 consid. 2.1 p. 64 ; arrêts du Tribunal fédéral 6B_327/2015 du 16 décembre 2015 consid. 2.4.1 et 6B_1095/2009 du 24 septembre 2010 consid. 2.2 publié in SJ 2011 I 73). Dans ces deux derniers</w:t>
      </w:r>
    </w:p>
    <w:p>
      <w:r>
        <w:t>- 14/27 - P/24432/2017 arrêts, le Tribunal fédéral a jugé que le ligotage des victimes servait uniquement la réalisation des brigandages et avait été commis lors de leur exécution. L'infraction de séquestration était par conséquent absorbée par celle de brigandage. Il en va de même s’agissant d’atteintes à l’intégrité sexuelle. Le concours réel entre la séquestration et le viol suppose que l'auteur restreigne la liberté de la victime dans une plus grande mesure que ne l'implique la perpétration du viol. L'art. 183 CP ne sera retenu, en plus de l'art. 189 et/ou 190 CP, que si l'on discerne une atteinte à la liberté allant au-delà de ce qui est lié nécessairement à la commission de la contrainte sexuelle ou du viol ; l'auteur doit enlever la victime dans un premier temps ou la retenir après la commission de l'infraction (arrêt du Tribunal fédéral 6B_774/2015 du 22 mai 2015, consid. 5). 2.5.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Sur le plan subjectif, il faut que l'auteur ait agi intentionnellement, c'est-à-dire qu'il ait voulu contraindre la victime à adopter le comportement visé en étant conscient de l'illicéité de son comportement ; le dol éventuel suffit (ATF 120 IV 17 consid. 2c p. 22).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 2.6. L'article 140 ch. 1 CP punit d'une peine privative de liberté de dix ans au plus ou d'une peine pécuniaire de 180 jours-amende au moins celui qui commet un vol en usant de violence à l'égard d'une personne, en la menaçant d'un danger imminent</w:t>
      </w:r>
    </w:p>
    <w:p>
      <w:r>
        <w:t>- 15/27 - P/24432/2017 pour la vie ou l'intégrité corporelle ou en la mettant hors d'état de résister. Le moyen de contrainte (la violence, la menace ou la mise hors d'état de résister) doit être dirigé contre la personne qui est en situation de défendre la possession de la chose. 2.7. En l’espèce, la Cour tient pour crédibles et conformes à la réalité les déclarations des deux plaignantes. Leurs récits, corroborés par les témoignages et éléments techniques recueillis, emportent la conviction. 2.7.1. S’agissant des faits commis au détriment de C______, celle-ci a pu être entendue à deux reprises en contradictoire, et le prévenu a eu l’occasion de lui poser toutes les questions utiles ; son décès n’a donc pas de portée sur l’appréciation des preuves. La version de la plaignante et l’identification de l’appelant comme son agresseur est corroborée à la fois par l’interpellation du prévenu, peu après les faits et sur intervention de collègues de la victime, dans la rue où se trouve leur lieu de travail, par la description physique qu’elle a fait de son agresseur, notamment l’existence de plusieurs cicatrices, et par le fait qu’elle l’a reconnu lors de l’audience de confrontation au MP. Elle ne l’avait certes initialement pas reconnu sur planche photographique ; cela s’explique toutefois aisément par la pénombre dans laquelle se sont déroulés les faits, et l’insistance de son agresseur à ne pas s’exposer à sa vue. Le fait que C______ n’a pas immédiatement déposé plainte et, selon les termes des primo-intervenants, a présenté une version confuse, exprimant essentiellement la volonté que l’appelant ne soit plus autorisé à se rendre dans ladite rue, s’explique aisément par la nature des faits subis, et la difficulté de décrire ceux-ci à des gendarmes peu préparés à recueillir les déclarations d’une victime d’agression sexuelle, de surcroit allophone. Dans la mesure toutefois où cette interpellation rapide n’a pas permis de récupérer les objets volés décrits par la victime, il subsiste un doute quant à la réalité de ce vol, qui doit profiter à l’appelant. Par voie de conséquence, les conclusions civiles y-relatives seront renvoyées au civil. En revanche, l’agression sexuelle, consistant en une contrainte répétée de prodiguer une fellation est établie. La version détaillée de C______ est crédible ; il n’existe aucune raison plausible pour qu’elle dénonce de tels faits s’ils ne s’étaient pas produits, étant relevé qu’elle exerçait la prostitution et n’aurait pas eu de motif de dénoncer un client avec lequel, pour reprendre les termes de l’appelant lorsqu’il décrit ses relations avec les prostituées, « tout s’était passé normalement ». La similitude des faits avec ceux décrits par la seconde plaignante et par une troisième prostituée qui, elle, a réussi à éviter que les choses ne dégénèrent, renforce d’ailleurs la crédibilité de la version de C______. Ses déclarations devant les premiers juges, selon lesquelles elle sentait encore l’odeur de son agresseur et se lavait en conséquence constamment les dents, accréditent encore, par leur matérialité et leur lien au contexte particulier, la véracité de ses propos. La Cour tient également pour établi que l’appelant a fait usage, pour parvenir à ses fins, d’une bouteille de bière, qu’il a cassée pour s’en munir afin de la menacer et de</w:t>
      </w:r>
    </w:p>
    <w:p>
      <w:r>
        <w:t>- 16/27 - P/24432/2017 lui faire craindre pour son intégrité et pour sa vie, comme le décrit la plaignante. De même, l’épisode au cours duquel la plaignante, nue, a été contrainte de se rendre sur le balcon, postérieurement à la contrainte sexuelle proprement dite, est avéré – là également, la version détaillée de la plaignante emporte la conviction, et aucun élément ne permet de douter de cet épisode, quelque peu incongru et qu’on imagine mal avoir été inventé de toutes pièces. Enfin, la Cour retient que l’appelant a effectivement retenu la plaignante contre son gré dans sa chambre au-delà de ces épisodes de contrainte, ce qu’attestent les messages d’appel à l’aide qu’elle a envoyés à sa collègue et qui figurent in extenso au dossier, dont la teneur atteste de sa crainte et de sa situation de détresse. Les appels de cette collègue, auxquels elle n’a pas répondu, sont également attestés, et permettent de retenir que l’appelant n’a pas quitté les lieux avant minuit, ce que confirme encore l’heure (1h15) à laquelle la patrouille hélée à la rue 1______ par d’autres prostituées l’a retrouvé, étant rappelé qu’à cette heure-là l’appelant avait déjà quitté les lieux, puisqu’il a été rattrapé à la rue 4______. Ces faits sont indubitablement constitutifs de contrainte sexuelle au sens de l’art. 189 CP. L’aggravante de la cruauté est également réalisée, dans la mesure où l’appelant a manifestement outrepassé la contrainte nécessaire pour satisfaire sa pulsion sexuelle, et fait usage de moyens particulièrement abjects en menaçant constamment sa victime au moyen d’un tesson de bouteille, dont il s’est servi en lui faisant craindre des lésions graves. Il s’agit d’un objet dangereux au sens de l’art. 189 al. 3 CP ; l’aggravante est déjà réalisée pour ce motif, mais également du fait que l’appelant, lui-même porteur de cicatrices visibles, n’a pas hésité à y faire référence pour accentuer et concrétiser la menace, qui a été ressentie comme réelle et perçue comme imminente par sa victime. La provenance de ces cicatrices est sans pertinence, dans la mesure où seule importe la référence faite au cours des faits. Enfin, aucun constat n’a certes été effectué et par voie de conséquence aucun bris de verre retrouvé ; cela n’entache toutefois pas la véracité du récit de la plaignante, étant d’ailleurs relevé que l’appelant a admis boire régulièrement de la bière. La pathologie hépatique de l’appelant ne l’a manifestement pas dissuadé d’exiger des prestations sans préservatif, puisque ce comportement s’est produit à trois reprises (E______, C______ et H______). Il semble bien plus vraisemblable que l’appelant, qui n’a jamais invoqué ce motif avant l’audience d’appel, s’en est opportunément rappelé au cours de la procédure, voire qu’il n’a découvert cette maladie qu’au cours de la procédure, comme il l’a initialement déclaré avant de se corriger sur ce point. L’appelant a maintenu cette menace même après être parvenu à ses fins, puisqu’alors que C______ lui avait déjà prodigué une fellation sans préservatif, il a continué à la menacer pour l’empêcher de réagir et la maintenir sous sa coupe. Les faits sont ainsi également constitutifs de séquestration (art. 183 CP), puisque l’appelant a enfermé sa victime dans sa propre chambre au-delà de la commission de l’infraction sexuelle proprement dite. La contrainte (art. 181 CP) en lien avec l’épisode du balcon l’est</w:t>
      </w:r>
    </w:p>
    <w:p>
      <w:r>
        <w:t>- 17/27 - P/24432/2017 également. Le poids de ces infractions doit toutefois être relativisé dans la fixation de la peine. En revanche, comme souligné ci-avant, le brigandage ne sera pas retenu, et l’appel admis sur ce point. 2.7.2. S’agissant des faits commis au détriment de E______, celle-ci a été entendue immédiatement après les faits puis en audience contradictoire. L’appelant ne conteste pas avoir entretenu une relation sexuelle avec elle, tout en maintenant qu’elle était consentie et payée et en expliquant le temps passé dans les locaux par une discussion avec d’autres prostituées. La version de la plaignante est néanmoins corroborée à la fois par les déclarations des témoins, par la présence de l’ADN de l’appelant sur le préservatif retrouvé sur place (élément qui soutient toutefois autant la thèse de l’appelant que celle de la plaignante) et, surtout, sur le vibromasseur saisi dans la chambre ainsi que par la durée de la présence de l’appelant dans la chambre de la plaignante, établie par la vidéosurveillance. La crédibilité de la plaignante est également attestée par la similitude du mode opératoire de l’appelant par rapport aux faits décrits par C______ et, dans une moindre mesure, par H______ (exigence d’une fellation sans préservatif et réaction violente face au refus ; extinction systématique de la lumière ; contrainte pour obtenir un massage et rester en sa compagnie après les actes). Il n’existe aucune raison plausible que E______ dénonce de tels faits s’ils ne s’étaient pas produits, étant relevé qu’elle venait d’arriver à Genève pour y exercer la prostitution et que ces événements ont mis un terme abrupt à cette activité, puisqu’elle a quitté le canton immédiatement après les faits pour n’y plus revenir, mettant ainsi un terme à ses velléités d’y exercer une activité lucrative. Elle n’aurait d’ailleurs pas eu de motif de dénoncer un client à la suite d’un rapport sexuel normal entrant dans son activité usuelle. L’absence de lésions à teneur du constat médico-légal est un élément neutre, dans la mesure où la région génitale est notoirement souple et que la plaignante expose s’être pliée, sous la menace, aux exigences de l’appelant sans lui opposer de résistance physique. La Cour retient ainsi que l’appelant a initialement contraint E______, sous la menace d’un couteau, à lui prodiguer une fellation sans préservatif, qu’il a ensuite introduit de force un vibromasseur dans son anus, l’a pénétrée vaginalement avec ledit vibromasseur puis avec son sexe, puis l’a pénétrée avec son sexe analement et à nouveau vaginalement. Ces faits sont constitutifs de viol (art. 190 CP) et de contrainte sexuelle (art. 189 CP) ; en effet, au vu de l’enchaînement des violences, il ne peut pas être retenu que la fellation et les pénétrations anales n’étaient que de simples préliminaires au viol ; il s’agissait bien au contraire d’actes visant en eux- mêmes à la satisfaction des pulsions sexuelles de l’appelant.</w:t>
      </w:r>
    </w:p>
    <w:p>
      <w:r>
        <w:t>- 18/27 - P/24432/2017 L’appelant a manifestement outrepassé la contrainte nécessaire pour satisfaire sa pulsion sexuelle, en menaçant constamment sa victime au moyen d’un couteau, dont il s’est servi en lui faisant craindre des lésions graves. Cet objet est un objet dangereux au sens de l’art. 189 al. 3 CP. Le fait que le couteau utilisé n’ait pas été retrouvé lors de la perquisition effectuée lors de l’interpellation de l’appelant est sans pertinence. En effet, cette perquisition est intervenue dans un foyer temporaire et non à la résidence usuelle de l’appelant (qui était sans domicile fixe). Il est douteux que l’appelant aurait été admis dans un tel endroit (et s’y serait présenté) en possession d’une arme blanche ; en tout état de cause, la perquisition a eu lieu deux jours après les faits et l’appelant a pu, pendant ce laps de temps, se débarrasser du couteau ou le cacher en un lieu sûr, voire le perdre ou l’égarer. L’aggravante de la cruauté est ainsi réalisée par l’utilisation du couteau, avec lequel l’appelant n’a cessé de menacer sa victime, lui faisant craindre pour sa vie et obtenant sa soumission complète. Les faits sont également constitutifs de séquestration (art. 183 CP), l’appelant ayant contraint la plaignante à rester dans la chambre près d’une heure et demie, y-compris après la commission des infractions à caractère sexuel, notamment en l’obligeant à lui prodiguer un massage et à regarder les photos sur son téléphone, ainsi qu’à rassurer une collègue qui était venue aux nouvelles, pour la contraindre à rester à ses côtés. Enfin, le vol, dans ces circonstances, du téléphone et de l’argent de la plaignante sont constitutifs de brigandage. Les déclarations de la plaignante à ce sujet sont crédibles et dignes de foi, même s’il est regrettable qu’aucune recherche technique n’ait été entreprise pour localiser le téléphone volé. 3. 3.1.1. Le viol et la contrainte sexuelle aggravés (art. 189 al. 1 et 3 et art. 190 al. 1 et 3 CP) sont passibles d'une peine privative de liberté d’au moins trois ans et pouvant aller jusqu'à 20 ans (art. 40 CP). Le brigandage simple (art. 140 ch. 1 CP) est passible d’une peine privative de liberté de six mois au moins et de dix ans au plus ; la séquestration (art. 183 CP) est passible d’une peine privative de liberté de cinq ans au plus ou d’une peine pécuniaire. Les infractions de contrainte (art. 181 CP) et de rupture de ban (art. 291 CP) sont passibles d'une peine privative de liberté de trois ans au plus ou d'une peine pécuniaire. Enfin la contravention à l’art. 19a LStup est passible d’une amende. Compte tenu de la situation personnelle de l’appelant qui est dépourvu de toute ressource et de son antécédent, une peine pécuniaire n’entre pas en ligne de compte, même pour les infractions pour lesquelles une telle peine serait théoriquement possible. La non-révocation du sursis accordé le 20 mars 2017 est acquise à l’appelant.</w:t>
      </w:r>
    </w:p>
    <w:p>
      <w:r>
        <w:t>- 19/27 - P/24432/2017</w:t>
      </w:r>
    </w:p>
    <w:p>
      <w:r>
        <w:t>3.1.2. Il sera fait application du droit en vigueur jusqu'au 31 décembre 2017, les actes reprochés à l'intimé ayant été commis sous l'empire de ce droit, et le nouveau droit des sanctions, qui marque globalement un durcissement, ne lui apparaissant pas plus favorable (l'art. 2 CP ; M. DUPUIS et al., op. cit., n. 6 ad art. 34 à 41 CP).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3.3. La faute de l’appelant est très lourde. Il s'en est pris à de nombreux et précieux biens juridiques, soit principalement à l'intégrité sexuelle, à la liberté et au</w:t>
      </w:r>
    </w:p>
    <w:p>
      <w:r>
        <w:t>- 20/27 - P/24432/2017 patrimoine de ses victimes qu’il a traitées avec violence et mépris et qui se sont vues mourir au cours de ses agissements. Il s’est affranchi des règles pour demeurer en Suisse alors qu’il s’était engagé à quitter ce pays dans le cadre de la procédure administrative visant à la mise en œuvre de l’expulsion prononcée à son encontre et a consommé du cannabis. Son activité délictueuse a été soutenue, puisqu’il est sorti d’un établissement de détention administrative à la fin du mois d’octobre 2017 et a commis ses premiers actes quelques jours plus tard, agissant avec grande violence à l’égard de ses victimes à deux reprises dans le mois suivant cette remise en liberté. Il a agi au mépris le plus total d'autrui, n'hésitant pas à terroriser ses victimes pour satisfaire ses pulsions sexuelles et à dépouiller une victime de ses économies. Sa situation personnelle ne justifiait en rien les actes commis. Selon ses propres déclarations, il est sorti de détention en possession d’un pécule qui lui aurait permis de respecter la mesure d’expulsion et de quitter la Suisse et de prendre un nouveau départ. Il dispose d’une famille dans son pays qu’il aurait pu aisément rejoindre, n’ayant strictement aucune raison de rester à Genève où il n’a ni lien, ni connaissance, ni aucune perspective. Sa collaboration à l'enquête a été mauvaise, l’appelant niant les faits essentiels et s’enfermant pour le surplus dans une attitude de déni en faisant valoir un problème de communication (alors qu’il a démontré devant la Cour de céans une certaine maîtrise du français, possiblement acquise au fil de ses détentions successives). Il n’a fait montre d’aucune prise de conscience. Il y a concours d'infractions et le prévenu présente un antécédent de vol et de violence ou menace contre les autorités et les fonctionnaires, qui est spécifique dans la mesure où il s’agit déjà d’infractions contre le patrimoine, l’intégrité physique et l’autorité publique. Cette condamnation ne l'a visiblement pas dissuadé de commettre de nouvelles infractions très rapidement. Il n'est pas contesté que la responsabilité pénale de l'intimé fut entière et qu'aucune circonstance atténuante au sens de l'art. 48 CP n'est réalisée. L'infraction la plus grave est la dernière ; le viol et la contrainte sexuelle commis avec cruauté le 24 novembre 2017 emportent, à eux seuls, le prononcé d'une peine privative de liberté de l'ordre de quatre ans qui doit être portée à quatre ans et demi pour tenir compte de la séquestration et du brigandage commis simultanément. Cette peine forme la peine de base, qui doit encore être aggravée pour tenir compte de la contrainte sexuelle aggravée commise dans la nuit du 7 au 8 novembre 2017, en concours avec une contrainte et une séquestration, ce qui porte la peine à sept ans. Cette peine devrait en principe encore être aggravée, pour tenir compte de la rupture de ban. A défaut d’appel du MP, il n’y a toutefois pas place pour une aggravation de la peine. Ainsi, nonobstant l’acquittement de l’appelant sur l’un des chefs</w:t>
      </w:r>
    </w:p>
    <w:p>
      <w:r>
        <w:t>- 21/27 - P/24432/2017 d’accusation, la peine privative de liberté de sept ans prononcée par les premiers juges doit être confirmée. 4. 4.1. Conformément à l'art. 66a al. 1 CP, le juge expulse un étranger du territoire suisse pour une durée de cinq à quinze ans s'il est reconnu coupable de l'une des infractions énumérées aux let. a à o, soit notamment en cas de condamnation pour brigandage (let. c), viol et contrainte sexuelle (let. h).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4.2. Conformément à l’art. 66b al. 1 CP, lorsqu’une personne contre qui une expulsion a été ordonnée commet une nouvelle infraction remplissant les conditions d’une expulsion au sens de l’art. 66a, une nouvelle expulsion est prononcée pour une durée de vingt ans. L’expulsion peut être prononcée à vie si le nouvel acte a été commis alors que la première expulsion avait encore effet (art. 66b al. 2 CP). Tout comme pour l'application de l'art. 66a al. 2 CP ou de l'art. 66abis CP, la fixation de la durée de l'expulsion impose le respect du principe de proportionnalité en rapport à la vie privée de l'expulsé, notamment par une pesée des intérêts entre celui public à l'éloignement et la situation personnelle du condamné. Celui qui ne peut se prévaloir d'aucun droit à séjourner en Suisse ne peut, en comparaison de prononcés de durées d'expulsion inférieures, se plaindre d'une quelconque atteinte à des garanties découlant des art. 13 Cst. ou 8 CEDH compte tenu d'une absence totale d'intégration en Suisse (arrêt du Tribunal fédéral 6B_242/2019 du 18 mars 2019 consid. 1.3). 4.3. En l'espèce, l’appelant n’a développé aucune argumentation subsidiaire en lien avec sa contestation de l'expulsion, qu’il motive par ses conclusions en acquittement. L'intérêt public à une expulsion de longue durée est manifeste, au vu de la gravité et du nombre des actes commis. L’appelant n’a aucune attache en Suisse, où il a essentiellement séjourné dans des établissements de détention (pénale ou administrative), de sorte qu'aucun élément de sa situation personnelle ne justifie de limiter l'expulsion. Au vu de ce qui précède, tenant compte de la nature et de la gravité des infractions commises, de la précédente expulsion encore en vigueur à l’encontre du prévenu et de son absence totale d'attache avec la Suisse, la durée de 20 ans retenue par les premiers juges est celle prévue à l’art. 66b al. 1 CP et de plus conforme au principe de proportionnalité, dès lors qu’il ne dispose d'aucun intérêt privé à se trouver en Suisse.</w:t>
      </w:r>
    </w:p>
    <w:p>
      <w:r>
        <w:t>- 22/27 - P/24432/2017 4.4. L’appel est donc très partiellement admis, l’acquittement du fait de brigandage en lien avec le chiffre III.4 de l’acte d’accusation n’entraînant aucune modification de la peine prononcée. 5. Les motifs ayant conduit les premiers juges à prononcer, par ordonnance séparée du 20 juin 2019, le maintien de l’appelant en détention pour des motifs de sûreté sont toujours d'actualité, ce que celui-ci ne conteste au demeurant pas, de sorte que la mesure sera reconduite mutatis mutandis (ATF 139 IV 277 consid. 2.2 à 2.3). 6. L'appelant, qui succombe pour l’essentiel, supportera les 9/10èmes des frais de la procédure envers l'Etat (art. 428 CPP). Les conclusions de l’appelant en indemnisation seront rejetées, l’acquittement prononcé ne conduisant à aucune réduction de peine et la détention subie étant couverte par la peine prononcée. 7. 7.1.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rémunération forfaitaire de la vacation aller/retour au et du Palais de justice est arrêtée à CHF 100.- pour les chefs d’étude, dite rémunération étant allouée d'office par la juridiction d'appel pour les débats devant elle.</w:t>
      </w:r>
    </w:p>
    <w:p>
      <w:r>
        <w:t>7.2 En l’occurrence, les états de frais produits par les conseils des appelants et celui de l’intimée paraissent adéquats et conformes aux dispositions et principes qui précèdent, de sorte qu’ils seront admis sans en reprendre le détail.</w:t>
      </w:r>
    </w:p>
    <w:p>
      <w:r>
        <w:t>- 23/27 - P/24432/2017</w:t>
      </w:r>
    </w:p>
    <w:p>
      <w:r>
        <w:t>7.2.1. En conclusion, l'indemnité versée à Me B______ sera arrêtée à CHF 4'135.70 correspondant à 17 heures d'activité au tarif de CHF 200.-/heure plus la majoration forfaitaire de 10%, un déplacement et la TVA au taux de 7.7%.</w:t>
      </w:r>
    </w:p>
    <w:p>
      <w:r>
        <w:t>7.2.2. L'indemnité versée à Me F______ sera arrêtée à CHF 2'259.90 correspondant à neuf heures et cinq minutes d'activité au tarif de CHF 200.-/heure plus la majoration forfaitaire de 10%, un déplacement et la TVA au taux de 7.7%.</w:t>
      </w:r>
    </w:p>
    <w:p>
      <w:r>
        <w:t>7.2.3. L'indemnité versée à Me D______ sera arrêtée à CHF 258.50 correspondant à une heure d'activité au tarif de CHF 200.-/heure plus la majoration forfaitaire de 20% et la TVA au taux de 7.7%. * * * * *</w:t>
      </w:r>
    </w:p>
    <w:p>
      <w:r>
        <w:t>- 24/27 - P/24432/2017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