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AARP/108/2014 vom 10. Juli 2013</w:t>
      </w:r>
    </w:p>
    <w:p>
      <w:r>
        <w:t>GE Cour de justice, 2013-07-10, FR</w:t>
      </w:r>
    </w:p>
    <w:p>
      <w:r>
        <w:rPr>
          <w:b/>
        </w:rPr>
        <w:t xml:space="preserve">Quelle: </w:t>
      </w:r>
      <w:r>
        <w:t>https://mcp.opencaselaw.ch/entscheid/ge_gerichte_AARP_108_2014</w:t>
      </w:r>
    </w:p>
    <w:p>
      <w:r>
        <w:t>FR: GE_GERICHTE AARP/108/2014 du 10 juillet 2013</w:t>
      </w:r>
    </w:p>
    <w:p>
      <w:r>
        <w:t>IT: GE_GERICHTE AARP/108/2014 del 10 luglio 2013</w:t>
      </w:r>
    </w:p>
    <w:p>
      <w:pPr>
        <w:pStyle w:val="Heading2"/>
      </w:pPr>
      <w:r>
        <w:t>Erwägungen</w:t>
      </w:r>
    </w:p>
    <w:p>
      <w:r>
        <w:rPr>
          <w:b/>
        </w:rPr>
        <w:t>E. 1</w:t>
      </w:r>
    </w:p>
    <w:p>
      <w:r>
        <w:t>L'appel et l'appel joint sont recevables pour avoir été interjetés et motivés selon la forme et dans les délais prescrits (art. 398, 399, 400 al. 3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(let. a), les modifications du jugement de première instance qu'elle demande (let. b), ses réquisitions de preuves (let. c) (art. 399 al. 3 CPP).</w:t>
      </w:r>
    </w:p>
    <w:p>
      <w:r>
        <w:t>A cet égard, la doctrine précise que l'appelant peut formuler des réquisitions de preuves. L'art. 399 al. 3 let. c CPP n'exclut pas qu'il en présente d'autres au cours des débats (ou lors de l'échange de d'écriture en cas de procédure écrite). Les conditions auxquelles la juridiction d'appel procède à un complément de preuves sont définies à l'art. 389 CPP (A. KUHN / Y. JEANNERET (éds), Commentaire romand : Code de procédure pénale suisse, Bâle 2011, n. 18 ad art. 399 CPP).</w:t>
      </w:r>
    </w:p>
    <w:p>
      <w:r>
        <w:t>- 10/21 - P/13520/2011 En vertu de l'art. 389 CPP, la juridiction d'appel se fonde sur les preuves administrées pendant la procédure préliminaire et la procédure de première instance (al. 1), l'administration des preuves du tribunal de première instance pouvant être répétée si les dispositions en matière de preuve ont été enfreintes, si l'administration des preuves était incomplète ou si les pièces relatives à l'administration des preuves ne sembles pas fiables (al. 2). L'autorité de recours peut administrer, d'office ou à la demande d'une partie, les preuves complémentaires nécessaires au traitement du recours (al. 3).</w:t>
      </w:r>
    </w:p>
    <w:p>
      <w:r>
        <w:rPr>
          <w:b/>
        </w:rPr>
        <w:t>E. 2.2</w:t>
      </w:r>
    </w:p>
    <w:p>
      <w:r>
        <w:t>En l'espèce, les pièces figurant d'ores et déjà au dossier suffisent aux fins de statuer sans qu'il ne soit nécessaire de prendre en considération celles produites tant par l'appelant que par la partie plaignante relatives à la corpulence des trois protagonistes. Ces éléments n'ont pas d'incidence pour juger les faits reprochés. Dès lors, les pièces litigieuses seront écartées du dossier et classées dans une cote séparée, pour permettre cas échéant le contrôle de la présente décision par le Tribunal fédéral.</w:t>
      </w:r>
    </w:p>
    <w:p>
      <w:r>
        <w:rPr>
          <w:b/>
        </w:rPr>
        <w:t>E. 3</w:t>
      </w:r>
    </w:p>
    <w:p>
      <w:r>
        <w:t>3.1.1. Se rend coupable de brigandage celui qui commet un vol en usant de violence à l'égard d'une personne, en la menaçant d'un danger imminent pour la vie ou l'intégrité corporelle ou en la mettant hors d'état de résister (art. 140 ch. 1 CP).</w:t>
      </w:r>
    </w:p>
    <w:p>
      <w:r>
        <w:t>Le brigandage n'est consommé que si le vol a été commis. Il s'agit d'une forme aggravée du vol qui se caractérise par les moyens que l'auteur a employés (ATF 124 IV 102 consid. 2 p. 104). Ainsi, à la différence du voleur, qui agit clandestinement ou par surprise, l'auteur recourt à la contrainte pour soustraire la chose d'autrui. Le brigandage n'est donc pas exclusivement une infraction contre le patrimoine, mais aussi contre la liberté, ce qui explique qu'elle soit plus sévèrement réprimée.</w:t>
      </w:r>
    </w:p>
    <w:p>
      <w:r>
        <w:t>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Il suffit que l'auteur ait recouru aux moyens indiqués et que le vol ait été consommé. Le simple fait de rendre la victime incapable de résister constitue une forme autonome de commission du brigandage. De cette manière, le recours à la violence ou à la menace ne doit plus nécessairement entraîner l'incapacité de la victime à se défendre pour que le brigandage soit consommé.</w:t>
      </w:r>
    </w:p>
    <w:p>
      <w:r>
        <w:t>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w:t>
      </w:r>
    </w:p>
    <w:p>
      <w:r>
        <w:t>- 11/21 - P/13520/2011 enrichissement illégitime (B. CORBOZ, Les infractions en droit suisse, vol. I, Berne 2010, n. 1 à 11 ad art. 140 CP).</w:t>
      </w:r>
    </w:p>
    <w:p>
      <w:r>
        <w:t>3.1.2.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Dans les cas de peu de gravité, le juge pourra atténuer la peine (art. 123 ch. 1 al. 2 CP).</w:t>
      </w:r>
    </w:p>
    <w:p>
      <w:r>
        <w:t>3.1.3. Quant à l'art. 126 ch. 1 CP, il réprime celui qui se sera livré sur une personne à des voies de fait qui n'auront causé ni lésion corporelle ni atteinte à la santé et qui sera, sur plainte, puni d'une amende.</w:t>
      </w:r>
    </w:p>
    <w:p>
      <w:r>
        <w:t>3.1.4. S'agissant du concours d'infractions, la doctrine estime que les lésions corporelles simples et la séquestration (si elle ne dépasse pas la durée nécessaire pour la soustraction) peuvent être englobées dans les notions de violence et de mise hors d'état de résister contenues dans la définition de brigandage (CORBOZ, op. cit, n. 21 à 23 ad art. 140 CP). 3.2.1. En l'espèce, les déclarations des protagonistes et du témoin permettent de retenir que l'appelant a donné des coups de poing et des gifles au visage de la partie plaignante, l'a immobilisée et l'a frappée à nouveau, au sol, permettant ainsi à sa femme de s'emparer du sac qu'elle portait. En effet, tout au long de la procédure, la partie plaignante a décrit avec précision les faits, et l'appelant ne conteste pas, en définitive, l'avoir frappée pour faire diversion au profit de sa femme, qui s'est emparée du sac et l'a fouillé avant de le jeter dans un container. Le témoignage de G______ à la police ne fait par ailleurs que renforcer ce scénario. 3.2.2. L'appelant soutient cependant que l'élément constitutif subjectif du dessein d'enrichissement illégitime n'est pas réalisé pour avoir agi dans le but de récupérer l'argent qu'il croyait avoir été volé la veille à son épouse par l'intimé. Si le dossier n'établit pas que ce vol a effectivement eu lieu, aucun élément ne vient infirmer la</w:t>
      </w:r>
    </w:p>
    <w:p>
      <w:r>
        <w:t>- 12/21 - P/13520/2011 thèse de l'appelant selon laquelle il était convaincu que tel était le cas. Ses déclarations en ce sens sont constantes et cohérentes et sont confirmées par celles de C______, du témoin G_______ et de l'intimé lui-même, selon lesquelles l'appelant avait agi pour récupérer l'argent dont C______ avait dit avoir été spoliée, voire «son argent» ou encore «sa thune». Il est ainsi établi que l'appelant n'avait pas le dessein de s'enrichir ou d'enrichir son épouse mais de permettre à celle-ci de recouvrer ce qu'il croyait lui être dû. Le fait que cette représentation n'était pas nécessairement exacte n'enlève rien à la réalité de son intention. En l'absence de dessein d'enrichissement illégitime, les faits ne sauraient être qualifiés de brigandage et l'appel doit être admis sur ce point. 3.2.3. Les coups portés par l'appelant à la partie plaignante doivent, au vu du constat médical du 30 août 2011, être qualifiés de lésions corporelles simples dans la mesure où les lésions subies constituent des hématomes, des ecchymoses multiples, des contusions et des dermabrasions dépassant largement celles qui seraient constitutives de voies de fait. Le contexte social dans lequel évoluent les protagonistes ne joue par ailleurs aucun rôle sur la qualification juridique des faits retenus. 3.2.4. L'appel sera dès lors admis en ce qui concerne le verdict de culpabilité, la qualification juridique de lésions corporelles simples étant retenue en lieu et place de celle de brigandage.</w:t>
      </w:r>
    </w:p>
    <w:p>
      <w:r>
        <w:rPr>
          <w:b/>
        </w:rPr>
        <w:t>E. 3.3</w:t>
      </w:r>
    </w:p>
    <w:p>
      <w:r>
        <w:t>Selon l'art. 393 CPP, lorsque, dans une même procédure, un recours a été interjeté par certains des prévenus ou des condamnés seulement et qu'il a été admis, la décision attaquée est annulée ou modifiée également en faveur de ceux qui n'ont pas interjeté recours aux conditions suivantes : - l'autorité de recours juge différemment les faits (let. a) ; - les considérants valent aussi pour les autres personnes impliquées (let. b). Avant de rendre sa décision, l'autorité de recours entend s'il y a lieu les prévenus ou les condamnés qui n'ont pas interjeté recours, le ministère public et la partie plaignante (ch. 2). En l'occurrence, les considérations qui précèdent et qui conduisent à écarter la qualification juridique de brigandage en ce qui concerne l'appelant ne valent pas pour l'intimée C______, dans la mesure où il n'est pas établi, ni même rendu vraisemblable, qu'elle avait été la veille victime d'un vol commis par l'intimé B_______ ou qu'elle croyait que tel était le cas, étant rappelé que l'intéressée a évoqué tant le vol que la perte de son sac. Sa situation se distingue donc de celle de l'appelant au plan de l'intention de sorte qu'il n'y a pas lieu de faire application de l'art. 393 CPP.</w:t>
      </w:r>
    </w:p>
    <w:p>
      <w:r>
        <w:t>- 13/21 - P/13520/2011</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4.2</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w:t>
      </w:r>
    </w:p>
    <w:p>
      <w:r>
        <w:t>- 14/21 - P/13520/2011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rPr>
          <w:b/>
        </w:rPr>
        <w:t>E. 4.3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w:t>
      </w:r>
    </w:p>
    <w:p>
      <w:r>
        <w:t>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4.4</w:t>
      </w:r>
    </w:p>
    <w:p>
      <w:r>
        <w:t>La faute de l'appelant est moyennement grave. Il s'en est pris physiquement au patrimoine de la partie plaignante. Il a voulu se faire justice par lui-même. Ses mobiles sont futiles et égoïstes. La victime a souffert physiquement et psychologiquement de cette agression. La collaboration de l'appelant peut être considérée comme moyenne dans la mesure où il a reconnu d'emblée avoir frappé la partie plaignante mais en tentant de justifier ses actes. Il n'y a pas eu d'empathie envers sa victime. La situation personnelle précaire du prévenu au moment des faits n'explique pas ses agissements. Les antécédents judiciaires de l'intéressé sont mauvais. Il est régulièrement condamné depuis des années. Sa responsabilité est entière. Il ne peut se prévaloir d’aucune circonstance atténuante au sens de l'art. 48 CP. Compte tenu de la violence des faits reprochés et des très nombreux antécédents de l'appelant, le prononcé d'une peine privative de liberté de 5 mois avec sursis apparaît plus adéquat qu'une peine pécuniaire sous l'angle de la prévention</w:t>
      </w:r>
    </w:p>
    <w:p>
      <w:r>
        <w:t>- 15/21 - P/13520/2011 spéciale, étant précisé que le sursis est acquis en application de l’interdiction de la reformatio in pejus (art. 391 al. 2 CPP). Le jugement entrepris sera par conséquent réformé en ce sens.</w:t>
      </w:r>
    </w:p>
    <w:p>
      <w:r>
        <w:rPr>
          <w:b/>
        </w:rPr>
        <w:t>E. 5.1</w:t>
      </w:r>
    </w:p>
    <w:p>
      <w:r>
        <w:t>En vertu de l'art. 126 al. 1 let. a CPP, le tribunal statue sur les conclusions civiles présentées lorsqu’il rend un verdict de culpabilité à l’encontre du prévenu. Selon l'art. 41 al. 1 de la loi fédérale du 30 mars 1911, complétant le Code civil suisse (CO, Code des obligations ; RS 220), celui qui cause, d’une manière illicite, un dommage à autrui, soit intentionnellement, soit par négligence ou imprudence, est tenu de le réparer. L'art. 49 CO prévoit en outre que celui qui subit une atteinte illicite à sa personnalité a droit à une somme d’argent à titre de réparation morale, pour autant que la gravité de l’atteinte le justifie et que l’auteur ne lui ait pas donné satisfaction autrement. L'atteinte grave à la personnalité est une notion juridique indéterminée que le juge doit apprécier dans chaque cas d'espèce.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w:t>
      </w:r>
    </w:p>
    <w:p>
      <w:r>
        <w:t>- 16/21 - P/13520/2011 prétention particulière contre son auteur, alors que la vie exige de chacun qu’il tolère de petites contrariétés.</w:t>
      </w:r>
    </w:p>
    <w:p>
      <w:r>
        <w:rPr>
          <w:b/>
        </w:rPr>
        <w:t>E. 5.2</w:t>
      </w:r>
    </w:p>
    <w:p>
      <w:r>
        <w:t>En l'espèce et s'agissant du tort moral, le constat médical du 30 août 2011 fait état de nombreuses lésions physiques, ce qui démontre que l'agression a été violente. De plus les événements du 29 août 2011 ont eu des répercussions psychiques (tristesse, peur, etc.) sur la partie plaignante, de sorte que le principe d'une indemnité pour tort moral est acquis. A l'appui de ses prétentions, la partie plaignante cite une jurisprudence du Tribunal fédéral (6B_353/2012 du 26 septembre 2012) dans laquelle trois victimes ont reçu chacune une indemnité pour tort moral de CHF 2'000.– avec intérêts. Cette jurisprudence diffère sensiblement du cas d'espèce dans la mesure où d'une part les assaillants avaient fait usage de différentes «armes» ou objets dangereux et que les blessures subies pour les victimes étaient plus importantes. De plus et bien qu’alléguant avoir peur d’une nouvelle agression et de représailles de la part de l'appelant, la partie plaignante n’a étayé ses affirmations d’aucune pièce attestant d’un suivi par un spécialiste ou d’un traitement médicamenteux, étant précisé que ce n'est que dès janvier 2013 qu'il a sollicité de son médecin généraliste un traitement pour calmer «les moments difficiles». Ainsi, un montant de CHF 1'000.–, tel que retenu par le premier juge, prend en compte de manière adéquate les souffrances endurées par la partie plaignante. Le jugement entrepris sera dès lors confirmé sur ce point. S'agissant du préjudice matériel relatif au remplacement du passeport de la partie plaignante, la proximité temporelle entre les faits, le 29 août 2011, et le remplacement du passeport selon la quittance du 1er septembre 2011 constitue un indice suffisant pour admettre que ledit passeport se trouvait dans le sac volé par l'appelant et sa femme. D'ailleurs, lors de son audition à la police le 31 août 2011, la partie plaignante a tout de suite indiqué que son passeport se trouvait dans son sac volé. C'est donc à juste titre que le premier juge a condamné l'appelant principal et sa femme à réparer le préjudice matériel découlant du brigandage, soit CHF 158.–, plus intérêts à 5% dès le 1er septembre 2011. Le jugement entrepris sera dès lors confirmé sur ces points.</w:t>
      </w:r>
    </w:p>
    <w:p>
      <w:r>
        <w:rPr>
          <w:b/>
        </w:rPr>
        <w:t>E. 6.1</w:t>
      </w:r>
    </w:p>
    <w:p>
      <w:r>
        <w:t>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w:t>
      </w:r>
    </w:p>
    <w:p>
      <w:r>
        <w:t>- 17/21 - P/13520/2011 comme un exercice non raisonnable des droits d'une partie au sens de l'art. 429 al. 1 let. a CPP (ATF 138 IV 197 consid. 2.3.5 p. 203 s), ce qui doit valoir aussi sous l'angle de l'art. 433 al. 1 let. a CPP.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6B_965/2013 du 3 décembre 2013 consid. 3.1.2 ; S. WEHRENBERG/I. BERNHARD, Basler Kommentar StPO, Bâle 2011, n. 12 ad art. 433 CPP ; N. SCHMID, Schweizerische Strafprozessordnung, Praxiskommentar, 2 e éd. Zürich 2013, n. 9 et 10 ad art. 433 CPP; A. KUHN / Y. JEANNERET (éds), op. cit., n. 13 ad. art. 433). Selon l'art. 4 al. 1 de la loi fédérale sur l’aide aux victimes d’infractions, du 23 mars 2007 (LAVI ; RS 312.5), les prestations d'aide aux victimes ne sont accordées définitivement que lorsque l'auteur de l'infraction ou un autre débiteur ne versent aucune prestation ou ne versent que des prestations insuffisantes. Cette aide est dès lors subsidiaire et n'est accordée définitivement que lorsque l'auteur de l'infraction ou un autre débiteur (assurances sociales et privées notamment) ne versent aucune prestation ou ne versent que des prestations insuffisantes (A. KUHN / Y. JEANNERET (éds), op. cit., n. 20 ad art. 433 CPP).</w:t>
      </w:r>
    </w:p>
    <w:p>
      <w:r>
        <w:rPr>
          <w:b/>
        </w:rPr>
        <w:t>E. 6.2</w:t>
      </w:r>
    </w:p>
    <w:p>
      <w:r>
        <w:t>En l'espèce et s'agissant de la durée de l'activité déployée par le conseil de la partie plaignante dans le cadre de la procédure de première instance, les diverses notes de frais produites apparaissent raisonnables. Le grief de l'appelant sera dès lors rejeté.</w:t>
      </w:r>
    </w:p>
    <w:p>
      <w:r>
        <w:t>Le taux horaire de CHF 350.– est inférieur au taux de CHF 400.–, correspondant au tarif moyen appliqué à Genève. De plus, comme l'a relevé le premier juge, l'assistance juridique a été refusée à la partie plaignante et l'aide accordée par l'autorité LAVI est subsidiaire (art. 4 al. 1 LAVI), de sorte que les griefs de l'appelant seront rejetés.</w:t>
      </w:r>
    </w:p>
    <w:p>
      <w:r>
        <w:t>L'état de frais présenté par la partie plaignante par-devant le Tribunal de police contient effectivement une erreur de calcul puisque l'activité déployée lors de l'audience du 20 septembre 2012 n'avait pas été comptabilisée dans l'activité totale. Toutefois, et dans la mesure où l'art. 433 al. 2 CPP impose à la partie plaignante de chiffrer ses prétentions - de manière correcte - cette erreur de calcul lui est imputable. L'activité déployée à l'audience de jugement le 10 juillet 2013 ne sera pas prise en compte faute de conclusions en ce sens devant le premier juge, conformément à l'art. 433 al. 2 CPP et à la jurisprudence précitée.</w:t>
      </w:r>
    </w:p>
    <w:p>
      <w:r>
        <w:t>- 18/21 - P/13520/2011</w:t>
      </w:r>
    </w:p>
    <w:p>
      <w:r>
        <w:t>Les griefs de l'appelant et de la partie plaignante seront rejetés au sujet des conclusions civiles.</w:t>
      </w:r>
    </w:p>
    <w:p>
      <w:r>
        <w:rPr>
          <w:b/>
        </w:rPr>
        <w:t>E. 7</w:t>
      </w:r>
    </w:p>
    <w:p>
      <w:r>
        <w:t>Dans la mesure où l'appel principal est partiellement admis et que l'appel joint est rejeté, la partie plaignante ne se verra pas accorder une juste indemnité pour les dépenses obligatoires occasionnées par la présente procédure (art. 433 al. 1 let. a CPP a contrario).</w:t>
      </w:r>
    </w:p>
    <w:p>
      <w:r>
        <w:rPr>
          <w:b/>
        </w:rPr>
        <w:t>E. 8</w:t>
      </w:r>
    </w:p>
    <w:p>
      <w:r>
        <w:t>L'appelant, qui succombe en partie, supportera les deux tiers des frais de la procédure envers l'État (art. 428 CPP), comprenant dans leur totalité un émolument de CHF 2'500.– (art. 428 CPP ; art. 14 al. 1 let. e du Règlement fixant le tarif des frais en matière pénale, du 22 décembre 2010 [RTFMP ; E 4 10.03]). L'appelant joint supportera le solde. * * * * *</w:t>
      </w:r>
    </w:p>
    <w:p>
      <w:r>
        <w:t>- 19/21 - P/13520/2011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