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AARP/106/2018 vom 2. März 2018</w:t>
      </w:r>
    </w:p>
    <w:p>
      <w:r>
        <w:t>GE Cour de justice, 2018-03-02, FR</w:t>
      </w:r>
    </w:p>
    <w:p>
      <w:r>
        <w:rPr>
          <w:b/>
        </w:rPr>
        <w:t xml:space="preserve">Quelle: </w:t>
      </w:r>
      <w:r>
        <w:t>https://mcp.opencaselaw.ch/entscheid/ge_gerichte_AARP_106_2018</w:t>
      </w:r>
    </w:p>
    <w:p>
      <w:r>
        <w:t>FR: GE_GERICHTE AARP/106/2018 du 2 mars 2018</w:t>
      </w:r>
    </w:p>
    <w:p>
      <w:r>
        <w:t>IT: GE_GERICHTE AARP/106/2018 del 2 marzo 2018</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(ATF 104 IV 276 consid. 3d p. 277 ss).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133 III 201 consid. 4.2 ; 131 III 91 consid. 5.2 et les arrêts cités ; arrêts du Tribunal fédéral 6B_588/2012 du 11 février 2013 consid. 3.1 et 6B_534/2011 du 5 janvier 2012 consid. 1.2).</w:t>
      </w:r>
    </w:p>
    <w:p>
      <w:r>
        <w:rPr>
          <w:b/>
        </w:rPr>
        <w:t>E. 1.2</w:t>
      </w:r>
    </w:p>
    <w:p>
      <w:r>
        <w:t>En l'espèce, il s'agit de revoir la qualification juridique des faits commis au préjudice de la partie plaignante, en s'assurant qu'elle ne viole pas l'interdiction de la reformatio in pejus, puis de fixer à nouveau la peine de l'appelant, en déterminant aussi les conséquences que cela peut avoir sur les frais de la procédure mis à la charge de ce dernier.</w:t>
      </w:r>
    </w:p>
    <w:p>
      <w:r>
        <w:t>- 15/27 -</w:t>
      </w:r>
    </w:p>
    <w:p>
      <w:r>
        <w:rPr>
          <w:b/>
        </w:rPr>
        <w:t>E. 2.1</w:t>
      </w:r>
    </w:p>
    <w:p>
      <w:r>
        <w:t>Se rend coupable de brigandage celui qui commet un vol en usant de violence à l'égard d'une personne, en la menaçant d'un danger imminent pour la vie ou l'intégrité corporelle ou en la mettant hors d'état de résister (art. 140 ch. 1 CP). L'art. 140 CP institue une gradation dans la gravité du brigandage. Le premier niveau est atteint lorsque l'auteur s'est muni d'une arme à feu ou d'une autre arme dangereuse (art. 140 ch. 2 CP). Il s'agit d'un délit de mise en danger abstraite, le danger étant réalisé du seul fait que l'auteur porte l'arme sur lui, sans l'utiliser (ATF 124 IV 97 consid. 2d ; B. CORBOZ, Les infractions en droit suisse, vol. I, 3e éd., Berne 2010, n° 16 ad art. 140 p. 264). Pour apprécier si une arme est dangereuse, il faut se référer à sa nature, à savoir examiner si elle est propre à causer de graves lésions (ATF 113 IV 60 consid. 1a). C'est ainsi qu'a été considérée comme étant une arme dangereuse un couteau de cuisine muni d'une lame de 20 cm de long et de 4 cm de large mais pas un couteau de poche plié que l'on porte sur soi (ATF 117 IV 135 consid. 1c ; AARP/560/2013 du 14 novembre 2013).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Ainsi, l'auteur qui ne se borne pas à porter sur lui une arme à feu, mais qui l'utilise en l'exhibant pour intimider autrui, agit de manière particulièrement dangereuse (ATF 120 IV 317 consid. 2a ; 118 IV 142 consid. 3b ; 117 IV 419 consid. 4b ; arrêt du Tribunal fédéral 6B_988/2013 du</w:t>
      </w:r>
    </w:p>
    <w:p>
      <w:r>
        <w:rPr>
          <w:b/>
        </w:rPr>
        <w:t>E. 2.2</w:t>
      </w:r>
    </w:p>
    <w:p>
      <w:r>
        <w:t>En l'espèce, une tentative d'assassinat ne peut être retenue en tant que telle et la question de savoir si cette infraction est ou non absorbée par un brigandage qualifié peut rester indécise. Il suffit en effet de constater que, pour accomplir son forfait, consistant à dépouiller la victime et à lui extorquer le code de sa carte bancaire, l'appelant a usé d'une violence inouïe et fait preuve d'une grande cruauté à l'encontre de cette dernière. Il l'a en effet menacée à réitérées reprises de mort, n'hésitant pas à placer sous sa gorge un couteau de cuisine particulièrement effrayant, lui assénant aussi un violent coup de poing au niveau de l'œil gauche, dont elle conserve toujours</w:t>
      </w:r>
    </w:p>
    <w:p>
      <w:r>
        <w:t>- 17/27 -</w:t>
      </w:r>
    </w:p>
    <w:p>
      <w:r>
        <w:t>des séquelles à ce jour, six ans après les faits, et l'étranglant avec force pendant plusieurs minutes au point de lui fracturer le larynx et qu'elle a cru mourir asphyxiée. L'appelant a ensuite ligoté la victime, avec les mains dans le dos, lui a enfoncé un corps étranger dans la bouche avant d'y apposer un bâillon et l'a placée la tête en bas dans une baignoire, l'abandonnant dans cette position, en prenant encore le soin de verrouiller tant la porte de la salle de bains que celle de l'appartement et d'augmenter le volume de la télévision afin de couvrir les éventuels appels au secours de sa victime. En agissant de la sorte, l'appelant A______ a incontestablement accepté le risque de mettre concrètement la vie de B______ en danger, comme ce fut objectivement le cas à dire d'expert tant lors des strangulations qu'au cours de la dernière phase de l'agression, l'intéressée n'ayant en définitive survécu que grâce à l'intervention prompte et salvatrice de son voisin. Il n'y a nul besoin d'avoir des capacités intellectuelles très développées pour savoir qu'on risque d'asphyxier une personne en lui serrant fortement et durablement le cou ou encore en l'attachant et en la bâillonnant avec la tête en bas. Ce faisant, l'appelant a aussi causé à la victime des souffrances allant bien au-delà de ce qui était nécessaire pour briser sa résistance et la délester de ses bijoux et autres valeurs, ce qui s'explique d'autant moins qu'il a lui- même subi les conséquences d'une agression. Bien qu'ayant admis avoir été conscient qu'il ne pouvait laisser sa victime dans cet état, l'appelant n'a pour autant strictement rien entrepris pour qu'elle soit libérée, se rendant au contraire dans un bar boire des verres avec son comparse en attendant minuit, afin de pouvoir ensuite opérer une nouvelle série de retraits sur le compte de l'intéressée. Ce déchaînement de violence physique purement gratuite est d'autant plus incompréhensible qu'un mois auparavant, il avait obtenu ce qu'il escomptait, sans y recourir, lorsqu'il avait agressé une octogénaire de nuit à son domicile pour des motifs identiques, soit pour lui voler ses bijoux et espèces et la contraindre à lui révéler le code de ses cartes bancaires. L'appelant s'est ainsi rendu coupable de brigandage aggravé au sens de l'art. 140 ch. 4 CP, sans qu'il soit nécessaire de déterminer s'il a en outre causé à sa victime des lésions corporelles graves dans la mesure où il s'agit de circonstances aggravantes alternatives et que la pluralité de celles-ci doit avant tout être prise en considération au niveau de la fixation de la peine. Ce verdict ne viole pas le principe de l'interdiction de la reformatio in pejus, puisqu'il correspond à celui rendu par la Cour de justice dans son arrêt du 28 août 2014 qui lie en l'occurrence la Chambre de céans, cette qualification juridique comportant au demeurant une peine menace inférieure à celle résultant du concours idéal retenu tant en première instance que dans l'arrêt du 18 novembre 2015 entre la tentative d'assassinat et le brigandage aggravé au sens de l'art. 140 ch. 3 CP. L'incident soulevé par la défense doit par conséquent aussi être rejeté.</w:t>
      </w:r>
    </w:p>
    <w:p>
      <w:r>
        <w:t>- 18/27 -</w:t>
      </w:r>
    </w:p>
    <w:p>
      <w:r>
        <w:t>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w:t>
      </w:r>
    </w:p>
    <w:p>
      <w:r>
        <w:t>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3.1.3. Dans l'exercice de son pouvoir d'appréciation, le juge doit respecter, en particulier, le principe d'égalité de traitement (art. 8 al. 1 Cst. féd. ; cf. au regard de l'art. 63 aCP, ATF 120 IV 136 consid. 3a p. 144 et les arrêts cités). S'agissant de coauteurs jugés dans une seule procédure, l'appréciation subjective de la culpabilité et de la situation personnelle de chacun peut justifier des peines différentes pour des mêmes actes. Le juge veille à ce que la différence des peines infligées aux deux intéressés soit justifiée par une différence dans les circonstances personnelles. La</w:t>
      </w:r>
    </w:p>
    <w:p>
      <w:r>
        <w:t>- 19/27 -</w:t>
      </w:r>
    </w:p>
    <w:p>
      <w:r>
        <w:t>peine doit en effet être individualisée en fonction de celles-ci, conformément à l'art. 47 CP (ATF 141 IV 61 consid. 6.3.2 p. 69 ; ATF 121 IV 202 consid. 2b p. 244 ss ; arrêts du Tribunal fédéral 6B_794/2015 du 15 août 2016 consid. 1.1 et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arrêt du Tribunal fédéral 6B_794/2015 du 15 août 2016 consid. 1.1).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6B_455/2016, 6B_489/2016, 6B_490/2016, 6B_504/2016 du 20 avril 2017 consid. 5.1 ; 6B_794/2015 du 15 août 2016 consid. 1.1).</w:t>
      </w:r>
    </w:p>
    <w:p>
      <w:r>
        <w:t>3.1.4.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w:t>
      </w:r>
    </w:p>
    <w:p>
      <w:r>
        <w:t>- 20/27 -</w:t>
      </w:r>
    </w:p>
    <w:p>
      <w:r>
        <w:t>où le jugement de seconde instance a été rendu dès lors que ce recours a un effet dévolutif (ATF 140 IV 145 consid. 3.1 p. 148, 132 IV 1 consid. 6.2.1 p. 4 ; arrêt du Tribunal fédéral 6B_664/2015 du 18 septembre 2015 consid. 1.1). 3.2. En sus du brigandage susmentionné, l'appelant s'est rendu coupable d'un autre brigandage aggravé au sens de l'art. 140 ch. 2 CP, de deux cas de cambriolage et d'utilisation frauduleuse d'un ordinateur, de recel, de violences contre les autorités et les fonctionnaires, ainsi que d'infractions à la loi sur les étrangers, toutes passibles du même genre de peine et concourant entre elles, de sorte qu'en vertu de l'art. 49 al. 1 CP, il se justifie d'augmenter la peine de l'infraction la plus grave, soit celle de l'art. 140 ch. 4 CP, passible d'au moins cinq ans, dans une juste proportion afin d'en tenir adéquatement compte.</w:t>
      </w:r>
    </w:p>
    <w:p>
      <w:r>
        <w:t>La faute de l'appelant est extrêmement lourde s'agissant des deux brigandages aggravés commis en un laps de temps très court au préjudice de personnes âgées, particulièrement vulnérables et incapables d'opposer la moindre résistance, cela par appât d'un gain facile et plutôt dérisoire. En dépit de ses capacités intellectuelles limitées, l'appelant avait pleinement conscience que le fait de s'en prendre avec brutalité à des aînés est l'une des plus graves transgressions de tout ordre juridique. Le caractère odieux et purement gratuit des actes de violence commis au préjudice de B______ et le peu de cas qu'il a fait de la vie de celle-ci justifient déjà une peine sensiblement plus importante que celle – fixée à six ans – de son comparse D______, soit de l'ordre de huit à neuf ans, l'appelant ne pouvant être suivi lorsqu'il soutient s'être borné à suivre les ordres de ce dernier en commettant lesdits agissements. Son comparse a certes été reconnu coupable des faits commis au préjudice de la même victime, mais, s'agissant du brigandage, uniquement sous l'angle du ch. 3 de l'art. 140 CP, à l'instar de la décision de la précédente juridiction d'appel, puisque, s'il avait planifié l'attaque de sa voisine et confié l'exécution du forfait à l'appelant, en lui fournissant notamment le couteau de cuisine pour ce faire, et l'avait ainsi instrumentalisé en vue de servir ses propres intérêts, tout en minimisant ses propres risques, en particulier celui d'être identifié, il a été retenu qu'il n'était précisément pas établi que D______ avait eu conscience ou pleine connaissance de la violence inouïe avec laquelle son comparse allait agir. En ce qui concerne le précité, ces infractions entraient uniquement en concours avec un acte de contrainte de gravité objectivement limitée au préjudice de son ex-amie, en sus du séjour illégal. Pour le surplus, si sa collaboration s'était révélée moins bonne, sa responsabilité pénale était légèrement limitée, contrairement à celle de l'appelant, leurs antécédents étant mauvais, spécifiques et pour l'essentiel comparables.</w:t>
      </w:r>
    </w:p>
    <w:p>
      <w:r>
        <w:t>Il convient aussi de rappeler que, dans le cadre du brigandage commis au préjudice de G______, le comparse de l'appelant a été condamné à une peine privative de liberté de quatre ans, de surcroît partiellement complémentaire à une autre, pour y avoir participé en tant que simple complice, puisqu'il avait été établi que c'était bien l'appelant qui avait eu un rôle prépondérant dans sa commission, en ayant en</w:t>
      </w:r>
    </w:p>
    <w:p>
      <w:r>
        <w:t>- 21/27 -</w:t>
      </w:r>
    </w:p>
    <w:p>
      <w:r>
        <w:t>particulier menacé la victime avec le couteau. Pour le dénommé F______, l'infraction entrait en concours avec, en sus de l'utilisation frauduleuse d'un ordinateur, un cambriolage et une tentative, ainsi qu'avec des infractions à la circulation routière, certes d'une certaine gravité, sa responsabilité étant en outre légèrement restreinte, ses antécédents étant moins mauvais car ne comportant pas de brigandage et sa collaboration à l'enquête, jugée "bonne, voire très bonne". L'aggravation de la peine principale due au concours avec cet autre brigandage justifie à elle seule une peine supplémentaire de l'ordre de trois à quatre ans.</w:t>
      </w:r>
    </w:p>
    <w:p>
      <w:r>
        <w:t>Si la collaboration de l'appelant s'est améliorée en fin d'instruction et qu'elle a en particulier aidé à la mise en cause de D______, force est de constater qu'il n'a eu de cesse de chercher à minimiser sa faute en tentant de rejeter la responsabilité des actes les plus graves sur ses comparses ou encore sur sa consommation de médicaments et/ou de stupéfiants, alors qu'il n'était aucunement sous l'influence de telles substances lors de l'agression de B______, voire encore son alcoolisation, qui n'atteignait pas non plus le seuil pouvant faire douter d'une responsabilité pleine et entière, sans compter qu'il en a consommé après les faits précités. Il en découle aussi que, nonobstant l'écoulement du temps, sa prise de conscience n'en est restée qu'à ses prémisses, l'admission de sa faute et les regrets exprimés ne permettant en particulier pas de retenir un véritable amendement. A cet égard, il sera également rappelé que la compassion qu'il invoque n'a pas été jusqu'à révéler le sort réservé aux valeurs et surtout aux bijoux de nature affective dérobés à B______, profitant au contraire du fruit dérisoire de la réalisation de ces derniers. Les conditions de l'atténuante prévue à l'art. 48 let. e CP ne sont manifestement pas réalisées.</w:t>
      </w:r>
    </w:p>
    <w:p>
      <w:r>
        <w:t>Si l'on peut saluer le geste de l'appelant, consistant à céder à la partie plaignante l'indemnité pour tort moral qui lui a été allouée dans le cadre de l'agression dont il a lui-même été victime, laquelle a été fixée à CHF 15'000.-, force est néanmoins de constater qu'elle n'apparaît guère concrète dans la mesure où son débiteur est manifestement insolvable, s'agissant d'un ressortissant marocain se trouvant en situation illégale en Suisse et en détention pour avoir été condamné notamment de ce chef à une peine de sept ans de privation de liberté, d'autant que l'intéressé a contesté sa culpabilité non seulement en appel mais aussi par le biais d'une demande de révision, qui fut rejetée en décembre 2014. Or, il ne ressort nullement du dossier que l'appelant aurait saisi l'instance LAVI, afin d'obtenir une réparation par le biais de cette institution. C'est en outre à la requête du SAPEM et vraisemblablement dans la perspective d'une éventuelle libération conditionnelle qu'il verse CHF 25.- par mois depuis juillet 2015 pour indemniser ses victimes, montant qui, au demeurant, représente moins de 10 % de son pécule. Enfin, c'est essentiellement dans son propre intérêt et pour atténuer les troubles dont il souffrait, et non pas dans le cadre d'un travail d'introspection qu'il a entrepris une thérapie avec un psychologue, ce qui vaut aussi s'agissant du processus de médiation qu'il souhaitait entreprendre.</w:t>
      </w:r>
    </w:p>
    <w:p>
      <w:r>
        <w:t>- 22/27 -</w:t>
      </w:r>
    </w:p>
    <w:p>
      <w:r>
        <w:t>Pour l'ensemble de ces motifs, la peine privative de liberté de douze ans qui lui a été précédemment infligée est adéquate et doit être confirmée, laquelle tient déjà compte de la réduction d'un an opérée au titre des conditions de détention contraires à l'art. 3 CEDH, qui lui est acquise et dont la quotité n'est pas remise en cause. 4. L'appelant ayant partiellement obtenu gain de cause sur la qualification juridique des faits à réexaminer, sa participation aux frais de la précédente procédure d'appel sera ramenée à un tiers, ceux consécutifs à l'arrêt de renvoi du Tribunal fédéral étant laissés à la charge de l'Etat.</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et de CHF 65.- pour un avocat stagiaire (let. a), débours de l'étude inclus, la TVA étant versée en sus si l'intéressé y est assujetti. S'y ajoute une majoration forfaitaire de 20% jusqu'à 30 heures d'activité consacrée aux conférences, audiences et autres actes de la procédure dans un même dossier,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de brèves observations ou déterminations, notamment au Tribunal des mesures de contraintes ou sur la prolongation de la détention (AARP/281/2015 du 25 juin 2015 [déterminations] ; AARP/277/2014 du 17 juin 2014 [observations au TMC] ; AARP/131/2014 du 25 mars 2014 [déterminations sur la prolongation de la détention]) ou la requête d'exécution anticipée de la peine (décision de la Cour des plaintes du Tribunal pénal fédéral BB.2013.22 du 31 octobre 2013 consid. 5.2.3). Il en va de même de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w:t>
      </w:r>
    </w:p>
    <w:p>
      <w:r>
        <w:t>- 23/27 -</w:t>
      </w:r>
    </w:p>
    <w:p>
      <w:r>
        <w:t>susceptibles de recours sur le plan cantonal, est également couverte par le forfait (AARP/425/2013 du 12 septembre 2013 [énoncé du principe]). 5.1.3.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5.1.4.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w:t>
      </w:r>
    </w:p>
    <w:p>
      <w:r>
        <w:t>- 24/27 -</w:t>
      </w:r>
    </w:p>
    <w:p>
      <w:r>
        <w:t>dite rémunération étant allouée d'office pour la juridiction d'appel pour les débats devant elle.</w:t>
      </w:r>
    </w:p>
    <w:p>
      <w:r>
        <w:t>5.2.1. En l'occurrence, l'état de frais produit par le conseil juridique gratuit de la partie plaignante, considéré dans sa globalité, paraît adéquat et conforme aux principes qui précèdent, de sorte qu'il n'est pas nécessaire de reprendre le détail des postes qui le composent. Ainsi, l'indemnité due à Me C______ sera arrêtée à CHF 9'266.40, correspondant à 38h00 d'activité au tarif de CHF 200.-/heure, compte tenu de la durée effective des débats d'appel (3h35 pour l'audience du 1er mars 2018 et de 20mn pour celle du lendemain consacrée à la reddition du verdict, arrondies à 4h00), plus les vacations correspondantes (CHF 200.-), la majoration forfaitaire de 10% (CHF 780.-) et l'équivalent de la TVA au taux de 8% selon la pratique transitoire de la CPAR en CHF 686.40.</w:t>
      </w:r>
    </w:p>
    <w:p>
      <w:r>
        <w:t>5.2.2. Quant à l'état de frais du défenseur d'office de l'appelant, sous réserve des visites faites à ce dernier, il convient d'en retrancher toute l'activité effectuée postérieurement à la reddition de l'arrêt du 18 novembre 2015 et antérieure à la préparation des nouveaux débats d'appel, puisqu'elle est soit comprise dans l'indemnité forfaitaire pour l'activité diverse, soit n'a pas à être indemnisée par l'assistance juridique, s'agissant de l'examen de l'opportunité de former le recours au Tribunal fédéral et de la préparation de celui-ci, voire encore pour le poster (vacation du collaborateur). Les cinq visites effectuées par un stagiaire à la prison seront admises, qui correspondent à 7h30, de même que celle de 1h00 du chef d'étude du 1er mars 2018, mais non celle projetée postérieurement au prononcé du présent arrêt. Il sera également tenu compte des 4h00 de préparation des débats d'appel du chef d'étude, en sus de sa participation à ceux-ci, arrondie à 3h40, ainsi que de l'examen du dossier par un stagiaire de 1h00 et sa participation à l'audience du 2 mars 2018 (20mn). Dans la mesure où la CPAR va être amenée à rendre prochainement une nouvelle décision de principe sur le tarif horaire applicable à l'activité du stagiaire suite à un arrêt du Tribunal fédéral 6B_659/2017 du 6 mars 2018, dont Me I______ a eu connaissance puisqu'il lui a été communiqué dans le cadre du recours qu'il a lui- même formé sur le même sujet et qui est aussi pendant devant elle (P/7591/2014), la CPAR appliquera en l'état le tarif horaire prévu par le RAJ, mais en réservant expressément son adaptation éventuelle en fonction de la décision qui sera rendue sur ce point. L'indemnité due à Me I______ sera par conséquent fixée à CHF 2'901.70, correspondant à 8h40 d'activité au tarif de CHF 200.-/heure et à 8h50 à celui de CHF 65.-/heure, plus les deux vacations (CHF 135.-), la majoration forfaitaire de 10% (CHF 244.25) et l'équivalent de la TVA au taux de 8% selon la pratique transitoire de la CPAR en CHF 214.95. * * * * *</w:t>
      </w:r>
    </w:p>
    <w:p>
      <w:r>
        <w:t>- 25/27 -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