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AARP/100/2017 vom 13. September 2016</w:t>
      </w:r>
    </w:p>
    <w:p>
      <w:r>
        <w:t>GE Cour de justice, 2016-09-13, FR</w:t>
      </w:r>
    </w:p>
    <w:p>
      <w:r>
        <w:rPr>
          <w:b/>
        </w:rPr>
        <w:t xml:space="preserve">Quelle: </w:t>
      </w:r>
      <w:r>
        <w:t>https://mcp.opencaselaw.ch/entscheid/ge_gerichte_AARP_100_2017</w:t>
      </w:r>
    </w:p>
    <w:p>
      <w:r>
        <w:t>FR: GE_GERICHTE AARP/100/2017 du 13 septembre 2016</w:t>
      </w:r>
    </w:p>
    <w:p>
      <w:r>
        <w:t>IT: GE_GERICHTE AARP/100/2017 del 13 settembre 2016</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les frais, les indemnités et la réparation du tort moral (let. f).</w:t>
      </w:r>
    </w:p>
    <w:p>
      <w:r>
        <w:t>La Chambre limite son examen aux violations décrites dans l'acte d'appel (art. 404 al. 1 CPP), sauf en cas de décisions illégales ou inéquitables (art. 404 al. 2 CPP).</w:t>
      </w:r>
    </w:p>
    <w:p>
      <w:r>
        <w:rPr>
          <w:b/>
        </w:rPr>
        <w:t>E. 1.2</w:t>
      </w:r>
    </w:p>
    <w:p>
      <w:r>
        <w:t>Quand bien même les deux parties plaignantes n'ont pas donné formellement leur accord à cet égard, la CPAR est d'avis que si l'art. 406 al. 2 CPP prévoit formellement l'accord "des parties", l'intention du législateur et du Tribunal fédéral, en vue de garantir la tenue d'un procès équitable, est d'admettre un droit d'être entendu oralement avant tout au prévenu, pour permettre notamment une appréciation directe de sa personnalité et de faire valoir de vive voix ses arguments, ce qui est corroboré par le texte de la loi qui mentionne le caractère indispensable ou non de sa présence aux débats d'appel (art. 406 al. 2 let. a CPP ; arrêt du Tribunal fédéral 6B_419/2013 du 26 septembre 2013).</w:t>
      </w:r>
    </w:p>
    <w:p>
      <w:r>
        <w:t>- 8/18 - P/10369/2015 Il est partant douteux que le silence ou le refus d'une partie plaignante d'adhérer à une instruction écrite lie la juridiction d'appel au sens de cette disposition.</w:t>
      </w:r>
    </w:p>
    <w:p>
      <w:r>
        <w:rPr>
          <w:b/>
        </w:rPr>
        <w:t>E. 2</w:t>
      </w:r>
    </w:p>
    <w:p>
      <w:r>
        <w:t>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de l'appréciation de l'ensemble des preuves, le juge aurait dû éprouver des doutes sérieux et irréductibles sur sa culpabilité (ATF 120 Ia 31 consid. 2 p. 33 ss ; ATF 124 IV 86 consid. 2a p. 87 ss).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w:t>
      </w:r>
    </w:p>
    <w:p>
      <w:r>
        <w:t>- 9/18 - P/10369/2015 2.1.3. Cela signifie que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 du Tribunal fédéral 6B_146/2016 du 22 août 2016 consid. 4.1 et les références citées). 2.1.4. L'art. 147 al. 1 1ère phr.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cela dans le but d'établir ou de mettre en doute la crédibilité des déclarations de ces derniers (ATF 141 IV 220 = JdT 2016 IV 79 ; ATF 139 IV 25 = JdT 2013 IV 226 ; arrêt du Tribunal fédéral 1B_404/2012 du 4 décembre 2012). Ce droit spécifique de participer et de collaborer découle du droit d'être entendu (art. 107 al. 1 let. b CPP). Il ne peut être restreint qu'aux conditions prévues par la loi (cf. art. 108, 146 al. 4 et 149 al. 2 let. b CPP ; cf. aussi art. 101 al. 1 CPP et Message du 21 décembre 2005 relatif à l'unification du droit de la procédure pénale, FF 2006 1166 s. ch. 2.4.1.3). Les preuves administrées en violation de l'art. 147 al. 1 CPP ne sont pas exploitables à la charge de la partie qui n'était pas présente (art. 147 al. 4 CPP ; cf. ATF 140 IV 172 consid. 1.2.1 p. 175 ; 139 IV 25 consid. 4.2 p. 29 s.). 2.1.5. Selon la jurisprudence, le législateur a exclu de vider les litiges relatifs aux preuves illégales avant le renvoi en justice de l'accusé, en renonçant à ordonner la destruction immédiate des preuves viciées en dehors des cas visés aux art. 277 al. 2 et 289 al. 6 CPP, admettant ainsi que cette question puisse à nouveau être soulevée jusqu'à la clôture définitive de la procédure (arrêt du Tribunal fédéral 1B_398/2012 du 17 juillet 2012 consid 2 ; ACPR/109/2014 du 26 février 2014 consid. 3.4). Toutefois, le Tribunal fédéral a également réaffirmé que le principe de la bonne foi en procédure oblige celui qui constate un vice affectant le déroulement de celle-ci à le signaler aussitôt, sans attendre l'issue de la procédure (arrêt du Tribunal fédéral 6B_1066/2013 du 27 février 2014 consid. 3.2). 2.1.6. Le fait de réserver ses griefs à l'instance de recours, sans les avoir jamais soumis à l'autorité précédente, contrevient à l'interdiction de l'abus de droit (ATF 125 IV 79 consid. 1b p. 81) ou, ce qui revient au même, au principe de la bonne foi, que consacre désormais l'art. 3 al. 2 CPP, également applicable aux justiciables nonobstant sa teneur (arrêt du Tribunal fédéral 6B_5/2013 du 19 février 2013 consid. 2.7 ; ACPR/117/2014 du 3 mars 2014).</w:t>
      </w:r>
    </w:p>
    <w:p>
      <w:r>
        <w:t>- 10/18 - P/10369/2015</w:t>
      </w:r>
    </w:p>
    <w:p>
      <w:r>
        <w:rPr>
          <w:b/>
        </w:rPr>
        <w:t>E. 2.2</w:t>
      </w:r>
    </w:p>
    <w:p>
      <w:r>
        <w:t>En l'espèce l'appelant soulève pour la première fois en appel le grief de l'inexploitabilité du rapport de police du 29 mai 2016. La CPAR n'a pas de raison de remettre en cause les éléments portés sur ledit rapport de police. Si le juge de première instance a décidé de procéder à l'audition de l'un des participants aux observations du 29 mai 2015 en début d'après-midi, ce n'est assurément pas pour réparer un vice inexistant, dans la mesure où il n'est pas prévu par le CPP qu'un participant à une action de police, respectivement l'auteur du rapport transcrivant lesdites observations, doive systématiquement être entendu contradictoirement pour en confirmer l'exactitude, mais pour se fonder son intime conviction. L'appelant n'a au demeurant nullement demandé durant la procédure préliminaire, pas plus que devant le Tribunal pénal, une telle audition, malgré les éléments à sa charge figurant d'emblée dans le document litigieux. L'audition d'un inspecteur plus d'un an et trois mois après les faits, si elle n'a pas plus avant renseigné le Tribunal pénal sur les détails de l'action policière du 29 mai 2015, n'a pas pour autant contredit les éléments couchés dans l'écrit, rapport dressé au plus tard quelques heures après les constatations de la police. Force est encore de constater que l'appelant a pu poser toutes questions utiles à l'inspecteur de police, en présence de son conseil, de sorte que les conditions de l'art. 147 al. 1 CPP ont été respectées. Pour le surplus, dans la mesure où l'appelant pouvait au plus tard à l'issue de cette audition, soulever ce grief, ce dont il s'est abstenu, c'est en violation du principe de l'interdiction de l'abus de droit qu'il vient le faire en appel pour la première fois. Sa demande implicite d'écarter le rapport de police du 29 mai 2015 de la procédure sera partant rejetée.</w:t>
      </w:r>
    </w:p>
    <w:p>
      <w:r>
        <w:rPr>
          <w:b/>
        </w:rPr>
        <w:t>E. 2.3</w:t>
      </w:r>
    </w:p>
    <w:p>
      <w:r>
        <w:t>Selon l’art. 160 CP, se rend coupable de recel quiconque aura, notamment, acquis ou dissimulé une chose dont il savait ou devait présumer qu'un tiers l'avait obtenue au moyen d'une infraction contre le patrimoine. Le recel protège le droit de la personne lésée à récupérer la chose qui lui a été enlevée de manière délictueuse (ATF 116 IV 99 consid. b). Il exige que l'infraction antérieure soit déjà consommée, par un tiers, et qu'il s'agisse d'une infraction contre le patrimoine d'autrui générant un droit à restitution. Il est toutefois conçu comme une infraction indépendante de cette première infraction, ce qui implique que le for pour le receleur se détermine de manière autonome (ATF 77 IV 123 consid. 1). L'infraction préalable prévue par l'art. 160 ch. 1 CP suppose la réunion de tous les éléments de cette infraction; il n'est, en revanche, pas nécessaire que celle-ci soit poursuivable en Suisse ou que l'auteur soit effectivement poursuivi ou puni (ATF 101 IV 405 consid. 2).</w:t>
      </w:r>
    </w:p>
    <w:p>
      <w:r>
        <w:t>- 11/18 - P/10369/2015 Il n'est pas exigé qu'il y ait une relation personnelle entre l'auteur de l'infraction préalable et le receleur ; il n'est pas requis non plus que la chose passe directement de l'auteur au receleur. La dissimulation consiste à rendre impossible ou plus difficile, au moins temporairement, la découverte de la chose, éventuellement en l'amenant dans un endroit inattendu. L'acquisition et la dissimulation ne peuvent cependant entrer en concours (ATF 128 IV consid. 3c). L'infraction est intentionnelle, mais le dol éventuel suffit. L'auteur doit donc accepter l'éventualité que la chose ait été obtenue au moyen d'une infraction commise par un tiers. Le juge doit être certain que l'auteur a accepté l'idée qu'il s'agissait d'une chose de provenance délictueuse (ATF 116 IV 203 consid. 4). Il suffit néanmoins que les raisons de le soupçonner soient telles que cette possibilité s'impose à l'esprit (ATF 119 IV 247 consid. 2b; 101 IV 405 consid 2). Il n'est pas nécessaire que le receleur connaisse la nature exacte de l'infraction contre le patrimoine, ni les circonstances dans lesquelles elle s'est déroulée (ATF 119 IV 247 consid. 2b). C'est au moment de l'acte de recel que l'auteur doit accepter l'éventualité que la chose ait une provenance délictueuse ; le dolus subsequens est sans pertinence (ATF 105 IV 306 consid. c).</w:t>
      </w:r>
    </w:p>
    <w:p>
      <w:r>
        <w:rPr>
          <w:b/>
        </w:rPr>
        <w:t>E. 2.4</w:t>
      </w:r>
    </w:p>
    <w:p>
      <w:r>
        <w:t>Il ressort en l'espèce, tant du rapport de police, que du témoignage de l'un des inspecteurs présent sur les lieux, tenu au courant en direct par radio par ses collègues qui observaient la scène, que E______ a glissé l'iPad muni d'une fourre ou d'une coque rouge dans le sac à dos que portait A______, contenant un ordinateur portable ACER, avant que ce dernier ne le dissimule en le jetant par-dessus une palissade de chantier. Il n'y a aucune raison de mettre en doute la fiabilité des observations de la police et leur transcription dans leur rapport. Ces deux objets électroniques proviennent de vols dans des voitures, après bris d'une vitre, intervenus la veille et l'avant-veille, à l'image de ceux perpétrés par l'appelant le 21 mai 2015 et le 6 janvier 2016, qu'il a fini par admettre. Face à ces éléments, les dénégations de l'appelant et de son comparse E______ n'emportent pas conviction, étant rappelé que le premier a systématiquement contesté les infractions contre le patrimoine lui étant reprochées jusqu'à être confronté aux éléments scientifiques le confondant et encore, ayant en effet pour l'un des vols cherché à minimiser le butin dérobé. Aguerri à ces vols dans les véhicules et connaissant la même situation précaire que celle de son acolyte du 29 mai 2015, l'appelant devait à tout le moins se douter que ces deux objets électroniques étaient le produit d'infractions contre le patrimoine. En le cachant dans un lieu insolite tel un chantier, il a sans conteste pris des mesures pour empêcher ou à tout le moins rendre plus difficile et retarder leur découverte et restitution aux partie plaignantes. Sa condamnation pour recel sera en conséquence confirmée.</w:t>
      </w:r>
    </w:p>
    <w:p>
      <w:r>
        <w:t>- 12/18 - P/10369/2015 2.5.1. La Directive sur le retour 2008/115/CE n'est pas applicable aux ressortissants des pays tiers qui ont commis, outre le séjour irrégulier, un ou plusieurs autres délits (art. 2 al. 2 let. b de la Directive sur le retour) en dehors du droit pénal sur les étrangers (arrêt du Tribunal fédéral 6B_320/2013 du 29 août 2013 consid. 3.2 ; M. SPESCHA / H. THUR / A. ZUND / P. BOLZLI / C. HRUSCHKA [éds], Migrationsrecht, Kommentar, 4e éd., Zurich 2015, n. 12 ad art. 115 AuG). 2.5.2. L'appelant étant poursuivi pour des infractions contre le patrimoine en sus de son séjour illégal, la Directive sur le retour ne trouve pas application en l'espèce.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3.1.2. Bien que la récidive ne constitue plus un motif d'aggravation obligatoire de la peine (art. 67 a CP), les antécédents continuent de jouer un rôle très important dans la fixation de celle-ci (M. NIGGLI / H. WIPRÄCHTIGER (éds), Basler Kommentar Strafrecht I : Art. 1-110 StGB, Jugendstrafgesetz, 3e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w:t>
      </w:r>
    </w:p>
    <w:p>
      <w:r>
        <w:t>- 13/18 - P/10369/2015 Les antécédents judiciaires ne sauraient toutefois conduire à une augmentation massive de la peine, parce que cela reviendrait à condamner une deuxième fois pour des actes déjà jugés (ATF 120 IV 136 consid. 3b p. 145). 3.1.3.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265 consid. 2.3.1 ; ATF 141 IV 61 consid. 6.1.2 p. 67 ; ATF 138 IV 113 consid. 3.4.1 p. 115 et les références).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ATF 141 IV 61 consid. 6.1.2 p. 67 ; ATF 138 IV 113 consid. 3.4.1 p. 115 et les références). Il doit s'agir de peines de même genre (ATF 142 IV 265 consid. 2.3.2 et les références). 3.1.4.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Lorsque des motifs de prévention spéciale permettent de considérer que l’une ou l’autre de ces peines seraient d'emblée inadaptées, le juge</w:t>
      </w:r>
    </w:p>
    <w:p>
      <w:r>
        <w:t>- 14/18 - P/10369/2015 peut prononcer une peine privative de liberté de courte durée (arrêt du Tribunal fédéral 6B_889/2015 du 30 mai 2016 consid. 4.3 et les références citées).</w:t>
      </w:r>
    </w:p>
    <w:p>
      <w:r>
        <w:rPr>
          <w:b/>
        </w:rPr>
        <w:t>E. 3.2</w:t>
      </w:r>
    </w:p>
    <w:p>
      <w:r>
        <w:t>En l'espèce, il y a concours d'infractions entre les art. 139, 144 et 160 CP, ainsi que l'art. 115 al. 1 let. b LEtr, ce qui permet une augmentation de la peine dans une juste proportion. La faute de l’appelant n'est pas négligeable. Agissant par appât d’un gain facile à obtenir, il a commis des vols et un recel après avoir purgé plusieurs peines pour des faits similaires. Il n'a tiré aucune leçon des décisions de justice prises à son encontre. Il a par ailleurs persisté à séjourner en Suisse durant près de trois ans malgré une interdiction d'entrée dans le pays et les condamnations pour séjour illégal dont il a fait l'objet. Sa collaboration doit être qualifiée de médiocre. Il n'a fini par admettre les infractions conte le patrimoine que confronté aux éléments scientifiques l'accablant, cherchant encore à minimiser le butin dérobé à l'une de ses victimes et persistant en appel à contester son implication dans les faits du 29 mai 2015, se moquant des constatations de la police. Sa situation personnelle, bien que précaire, ne peut justifier ses agissements puisqu'elle résulte particulièrement de son choix de demeurer en Suisse sans droit. Les antécédents judiciaires suisses de l'appelant sont très mauvais, dès lors qu'il a déjà été condamné à sept reprises notamment pour des infractions spécifiques. Les peines privatives de liberté subies à ce jour ne l’ont pas dissuadé de récidiver, pas plus qu'une libération conditionnelle octroyée en février 2014. On peut ainsi douter d'une prise de conscience de sa part autre que circonstancielle et en tout état partielle. Aucune des circonstances atténuantes prévues par l'art. 48 CP n'est réalisée, ni d’ailleurs plaidée. Compte tenu de ce qui précède, la quotité de huit mois, telle que fixée en première instance, et tenant compte de ce que cette peine est partiellement complémentaire à celles prononcées les 17 février et 9 juin 2015, consacre une correcte appréciation des critères des art. 47 et 49 al. 1 et 2 CP, et sera confirmée.</w:t>
      </w:r>
    </w:p>
    <w:p>
      <w:r>
        <w:rPr>
          <w:b/>
        </w:rPr>
        <w:t>E. 4</w:t>
      </w:r>
    </w:p>
    <w:p>
      <w:r>
        <w:t>L'appelant, qui succombe, supportera les frais de la procédure envers l'Etat, comprenant un émolument de jugement de CHF 2'000.- (art. 428 CPP).</w:t>
      </w:r>
    </w:p>
    <w:p>
      <w:r>
        <w:rPr>
          <w:b/>
        </w:rPr>
        <w:t>E. 5.1</w:t>
      </w:r>
    </w:p>
    <w:p>
      <w:r>
        <w:t>Les frais imputables à la défense d'office ou à l'assistance juridique gratuite pour la partie plaignante sont des débours (art. 422 al. 2 let. a CPP) qui constituent des frais de procédure (art. 422 al. 1 CPP) et doivent, conformément à l'art. 421 al. 1</w:t>
      </w:r>
    </w:p>
    <w:p>
      <w:r>
        <w:t>- 15/18 - P/10369/2015 CPP, être fixés par l'autorité pénale dans la décision finale au plus tard (ATF 139 IV 199 consid. 5.1 p. 201-202). La juridiction d'appel est partant compétente, au sens de l'art. 135 al. 2 CPP, pour statuer sur l'activité postérieure à sa saisine.</w:t>
      </w:r>
    </w:p>
    <w:p>
      <w:r>
        <w:t>5.2.1.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débours de l'étude inclus (cf. décision de la Cour des plaintes du Tribunal pénal fédéral BB.2013.127 du 4 décembre 2013 consid. 3/4.2-4.4) de CHF 65.- pour l'avocat stagiaire (let. a). En cas d'assujettissement, l'équivalent de la TVA est versé en sus.</w:t>
      </w:r>
    </w:p>
    <w:p>
      <w:r>
        <w:t>5.2.2.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Ainsi, les communications et courriers divers sont en principe inclus dans le forfait (AARP/182/2016 du 3 mai 2016 consid. 3.2.2 ; AARP/501/2013 du 28 octobre 2013) de même que d'autres documents ne nécessitant pas ou peu de motivation ou autre</w:t>
      </w:r>
    </w:p>
    <w:p>
      <w:r>
        <w:t>- 16/18 - P/10369/2015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t>5.3.1. En l'occurrence, il convient en application de ces principes de retrancher de l'état de frais de Me B______ 30 minutes pour le poste "déclaration d'appel", compris dans le forfait pour activité diverses.</w:t>
      </w:r>
    </w:p>
    <w:p>
      <w:r>
        <w:t>5.3.2. En conclusion, l'indemnité sera arrêtée à CHF 421.20 correspondant à 5 heures d'activité au tarif de CHF 65.-/heure (CHF 325.-) plus la majoration forfaitaire de 20% (CHF 65.-) et l'équivalent de la TVA au taux de 8% en CHF 31.20. * * * * *</w:t>
      </w:r>
    </w:p>
    <w:p>
      <w:r>
        <w:t>- 17/18 - P/10369/2015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