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AARP/100/2013 vom 26. Februar 2013</w:t>
      </w:r>
    </w:p>
    <w:p>
      <w:r>
        <w:t>GE Cour de justice, 2013-02-26, FR</w:t>
      </w:r>
    </w:p>
    <w:p>
      <w:r>
        <w:rPr>
          <w:b/>
        </w:rPr>
        <w:t xml:space="preserve">Quelle: </w:t>
      </w:r>
      <w:r>
        <w:t>https://mcp.opencaselaw.ch/entscheid/ge_gerichte_AARP_100_2013</w:t>
      </w:r>
    </w:p>
    <w:p>
      <w:r>
        <w:t>FR: GE_GERICHTE AARP/100/2013 du 26 février 2013</w:t>
      </w:r>
    </w:p>
    <w:p>
      <w:r>
        <w:t>IT: GE_GERICHTE AARP/100/2013 del 26 febbraio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P/10275/2011 - 5/9 -</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t>L'indemnité selon les art. 429 al. 1 let. a et 436 al. 1 CPP concerne les dépenses du prévenu pour un avocat de choix (arrêts du Tribunal fédéral 6B_144/2012 consid. 1.2 et 6B_753/2011 consid. 1).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 Selon certains auteurs, en ce qui concerne les contraventions, le recours aux services d’un avocat peut être indemnisé lorsque l’enjeu individuel présente une certaine importance (A. KUHN / Y. JEANNERET, Commentaire romand : Code de procédure pénale suisse, Bâle 2011, n. 31 ad art. 429 CPP ; A. DONATSCH / T. HANSJAKOB / V. LIEBER (éds), Kommentar zur Schweizerischen Strafprozessordnung (StPO), Zurich 2010, n. 4 ad art. 429 CPP). Les auteurs songent, en particulier, à la procédure pour contravention au cours de laquelle une mesure est envisagée, à des accusations de soustraction douanière portant sur plusieurs millions de francs ou à un cas d’infraction routière concernant une personne pour laquelle le droit de conduire est indispensable à l’exercice de sa profession (A. KUHN / Y. JEANNERET, op. cit., n. 31 ad art. 429 CPP).</w:t>
      </w:r>
    </w:p>
    <w:p>
      <w:r>
        <w:t>P/10275/2011 - 6/9 - Selon l’art. 430 al. 1 CPP, l’indemnité ou la réparation du tort moral peut toutefois être refusée en tout ou partie au prévenu qui a provoqué illicitement et fautivement l’ouverture de la procédure ou a rendu plus difficile la conduite de celle-ci (let. a), si la partie plaignante est astreinte à indemniser le prévenu (let. b) ou si les dépenses du prévenu sont insignifiantes (let. c). 2.2.1. En l'occurrence, la cause concernait la contestation d'une contravention. A première vue, il n'apparaît pas que la cause ait présenté une complexité particulière. Il y a toutefois lieu de nuancer cette appréciation au regard de l'application, qui ne va pas de soi, du principe in dubio pro reo, et de la difficulté à faire reconnaître son innocence dans un appareil judiciaire dont l'intimée n'était pas coutumière, en dépit de sa formation de juriste, cette dernière exerçant sa profession dans un domaine extra- judiciaire. De plus, la défense de l’intimée, fondée sur la contestation des faits qui lui étaient reprochés, présentait des difficultés dans la mesure où le rapport d'expertise du 13 janvier 2011, qui était le principal élément de preuve à décharge, avait été écarté par le Service des contraventions au profit du rapport de police. Les méandres de la procédure étaient d'autant plus délicats à négocier du fait qu'il a eu moult reports d'audience, liés à l'absence du témoin à charge, dont l'audition n'apparaissait pas nécessaire selon l'intimée. En outre, l’enjeu représentait une certaine importance, l'intimée pouvant à bon droit craindre qu'une mesure administrative soit prise à son encontre, alors que l'usage d'un véhicule automobile est indispensable à l'exercice de sa profession selon son appréciation. Le principe du recours à un avocat ne peut ainsi être tenu pour superflu de sorte que le principe d'une indemnisation lui est acquis. 2.2.2. Il reste toutefois à en déterminer la quotité. Même si certaines démarches auprès du Tribunal de police ne requéraient aucune compétence particulière, s'agissant principalement de courriers ou appels téléphoniques dans le but de fixer les audiences en fonction des disponibilités de l'intimée, elles faisaient partie d'un tout. Il était logique que le mandataire s'en acquitte. Le taux horaire de CHF 350.- est par ailleurs raisonnable, compte tenu du fait que le tarif horaire moyen recommandé par l’Ordre des avocats genevois est de CHF 450.-. Il n'y a pas lieu de réduire l'indemnité en fonction du comportement de l'intimée, dans la mesure où elle n'a pas provoqué illicitement et fautivement l'ouverture de l'instruction ou rendu plus difficile sa conduite. Le fait d'avoir exercé son droit à prouver son innocence ne saurait lui être tenu à reproche. La durée de la procédure n'est</w:t>
      </w:r>
    </w:p>
    <w:p>
      <w:r>
        <w:t>P/10275/2011 - 7/9 - par ailleurs pas imputable à l'intimée, qui a plaidé plusieurs fois en vain en faveur d'une accélération des débats. Cependant, l'activité déployée par le conseil de l’intimée, d’une durée de 12 heures environ, apparaît excessive, compte tenu de la nature de l’affaire. A titre d'exemple, le temps consacré à la consultation, l'étude ou la "reprise" du dossier, n'est pas justifié s'agissant d'un état de fait relativement simple et de questions juridiques ou procédurales ne présentant aucune difficulté pour un avocat. Celui-ci ayant également opéré un calcul un peu "large" du temps consacré aux audiences, aux téléphones au Tribunal de police et à l'intimée, ainsi qu'aux courriers et courriels adressés à cette dernière, il se justifie de réduire l'indemnité, et de la fixer ex aequo et bono. Un montant de CHF 3'000.-, TVA comprise, apparaît adéquat dans ces circonstances. L'intimée disposant d'un revenu confortable, il est peu vraisemblable qu'un droit aux prestations de l'assistance juridique lui fût acquis. L'appel sera partiellement admis et le jugement sera modifié dans le sens des considérants.</w:t>
      </w:r>
    </w:p>
    <w:p>
      <w:r>
        <w:rPr>
          <w:b/>
        </w:rPr>
        <w:t>E. 3</w:t>
      </w:r>
    </w:p>
    <w:p>
      <w:r>
        <w:t>L'appel ayant été partiellement admis, l’intimée sera condamné à la moitié des frais de la procédure, comprenant un émolument d’arrêt d'appel de CHF 800.– (art. 428 CPP). Le solde sera laissé à la charge de l'Etat. * * * * *</w:t>
      </w:r>
    </w:p>
    <w:p>
      <w:r>
        <w:t>P/10275/2011 - 8/9 -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