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AARP/100/2012 vom 4. April 2012</w:t>
      </w:r>
    </w:p>
    <w:p>
      <w:r>
        <w:t>GE Cour de justice, 2012-04-04, FR</w:t>
      </w:r>
    </w:p>
    <w:p>
      <w:r>
        <w:rPr>
          <w:b/>
        </w:rPr>
        <w:t xml:space="preserve">Quelle: </w:t>
      </w:r>
      <w:r>
        <w:t>https://mcp.opencaselaw.ch/entscheid/ge_gerichte_AARP_100_2012</w:t>
      </w:r>
    </w:p>
    <w:p>
      <w:r>
        <w:t>FR: GE_GERICHTE AARP/100/2012 du 4 avril 2012</w:t>
      </w:r>
    </w:p>
    <w:p>
      <w:r>
        <w:t>IT: GE_GERICHTE AARP/100/2012 del 4 aprile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décision illégale ou inéquitable (art. 404 al. 2 CPP). L’appelant n’ayant pas persisté dans ses conclusions sur la peine dans son mémoire d’appel, il n’y a pas lieu d’examiner cette question, l’hypothèse de l’art. 404 al. 2 CPP n’étant pas réalisée.</w:t>
      </w:r>
    </w:p>
    <w:p>
      <w:r>
        <w:rPr>
          <w:b/>
        </w:rPr>
        <w:t>E. 2.1</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w:t>
      </w:r>
    </w:p>
    <w:p>
      <w:r>
        <w:t>- 5/7 - P/15129/2011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rPr>
          <w:b/>
        </w:rPr>
        <w:t>E. 2.2</w:t>
      </w:r>
    </w:p>
    <w:p>
      <w:r>
        <w:t>L’appelant a déjà été condamné précédemment à deux reprises pour des infractions spécifiques s’agissant de la LStup. La dernière condamnation était lourde et l’appelant n’avait bénéficié du sursis partiel que de justesse, vu la quotité de la peine totale et de celle de la partie ferme ainsi que la durée du délai d’épreuve. Il n’a donc tiré aucune leçon des sanctions prononcées, pas plus que de la chance qui lui a été donnée lors de l’octroi du sursis partiel, et a démontré qu’il s’est durablement installé dans la délinquance. L’absence de récidive pendant une période d’environ deux ans, dont une partie a au demeurant nécessairement été consacrée à l’exécution du solde de la partie ferme de la précédente peine, n’a rien de particulièrement méritant dès lors que le délai d’épreuve avait été fixé à cinq ans, et ne constitue donc pas un signe positif. De même, le fait que la quantité de drogue en cause n’était pas importante n’est pas pertinent, l’appelant ayant démontré qu’il était prêt à commettre des infractions à la moindre occasion. Contrairement à ce qu’il prétend, il n’a nullement fait preuve d’une bonne collaboration, n’admettant que les faits incontestables et donnant une version invraisemblable des conditions dans lesquelles il était entré en possession de la drogue ou de ses intentions. L’argument qu’il prétend tirer de ce que la nouvelle peine est légère ne joue pas non plus en sa faveur, puisqu’il en découle que l’effet dissuasif de cette nouvelle sanction n’est pas suffisant à lui seul. C’est ainsi à juste titre que le premier juge a estimé que le pronostic dans le cas présent était défavorable et a ordonné la révocation du sursis octroyé par la Cour correctionnelle le 19 janvier 2010. Le jugement entrepris doit donc être confirmé et l’appel rejeté.</w:t>
      </w:r>
    </w:p>
    <w:p>
      <w:r>
        <w:rPr>
          <w:b/>
        </w:rPr>
        <w:t>E. 3</w:t>
      </w:r>
    </w:p>
    <w:p>
      <w:r>
        <w:t>L'appelant, qui succombe, supportera les frais de la procédure envers l'État (art. 428 CPP), y compris un émolument de CHF 500.- (art. 14 al. 1 let. e du règlement fixant le tarif des frais en matière pénale [RTFMP ; E 4 10.03]. * * * * *</w:t>
      </w:r>
    </w:p>
    <w:p>
      <w:r>
        <w:t>- 6/7 - P/15129/2011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