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5D_249/2020 vom 1. Juli 2021</w:t>
      </w:r>
    </w:p>
    <w:p>
      <w:r>
        <w:t>GE Cour de justice, 2021-07-01, FR</w:t>
      </w:r>
    </w:p>
    <w:p>
      <w:r>
        <w:rPr>
          <w:b/>
        </w:rPr>
        <w:t xml:space="preserve">Quelle: </w:t>
      </w:r>
      <w:r>
        <w:t>https://mcp.opencaselaw.ch/entscheid/ge_gerichte_5D_249_2020</w:t>
      </w:r>
    </w:p>
    <w:p>
      <w:r>
        <w:t>FR: GE_GERICHTE 5D_249/2020 du 1 juillet 2021</w:t>
      </w:r>
    </w:p>
    <w:p>
      <w:r>
        <w:t>IT: GE_GERICHTE 5D_249/2020 del 1 luglio 2021</w:t>
      </w:r>
    </w:p>
    <w:p>
      <w:pPr>
        <w:pStyle w:val="Heading2"/>
      </w:pPr>
      <w:r>
        <w:t>Regeste</w:t>
      </w:r>
    </w:p>
    <w:p>
      <w:r>
        <w:t>Résumé: CONTRAT DE BAIL - TITRE DE MAINLEVÉE Un contrat de bail constitue un titre de mainlevée provisoire au sens de l’art. 82 al. 1 LP pour la durée du bail.</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