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5A_764/2019 vom 10. März 2020</w:t>
      </w:r>
    </w:p>
    <w:p>
      <w:r>
        <w:t>GE Cour de justice, 2020-03-10, FR</w:t>
      </w:r>
    </w:p>
    <w:p>
      <w:r>
        <w:rPr>
          <w:b/>
        </w:rPr>
        <w:t xml:space="preserve">Quelle: </w:t>
      </w:r>
      <w:r>
        <w:t>https://mcp.opencaselaw.ch/entscheid/ge_gerichte_5A_764_2019</w:t>
      </w:r>
    </w:p>
    <w:p>
      <w:r>
        <w:t>FR: GE_GERICHTE 5A_764/2019 du 10 mars 2020</w:t>
      </w:r>
    </w:p>
    <w:p>
      <w:r>
        <w:t>IT: GE_GERICHTE 5A_764/2019 del 10 marzo 2020</w:t>
      </w:r>
    </w:p>
    <w:p>
      <w:pPr>
        <w:pStyle w:val="Heading2"/>
      </w:pPr>
      <w:r>
        <w:t>Regeste</w:t>
      </w:r>
    </w:p>
    <w:p>
      <w:r>
        <w:t>Résumé: CRÉANCE GARANTIE De jurisprudence constante, en plus du loyer au sens strict, le droit de rétention englobe également l'indemnité due par le locataire qui est resté dans les locaux à l'expiration du contrat.</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