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5A_428/2009 vom 23. November 2009</w:t>
      </w:r>
    </w:p>
    <w:p>
      <w:r>
        <w:t>GE Cour de justice, 2009-11-23, FR</w:t>
      </w:r>
    </w:p>
    <w:p>
      <w:r>
        <w:rPr>
          <w:b/>
        </w:rPr>
        <w:t xml:space="preserve">Quelle: </w:t>
      </w:r>
      <w:r>
        <w:t>https://mcp.opencaselaw.ch/entscheid/ge_gerichte_5A_428_2009</w:t>
      </w:r>
    </w:p>
    <w:p>
      <w:r>
        <w:t>FR: GE_GERICHTE 5A_428/2009 du 23 novembre 2009</w:t>
      </w:r>
    </w:p>
    <w:p>
      <w:r>
        <w:t>IT: GE_GERICHTE 5A_428/2009 del 23 novembre 2009</w:t>
      </w:r>
    </w:p>
    <w:p>
      <w:pPr>
        <w:pStyle w:val="Heading2"/>
      </w:pPr>
      <w:r>
        <w:t>Regeste</w:t>
      </w:r>
    </w:p>
    <w:p>
      <w:r>
        <w:t>Résumé: ACTION POSSESSOIRE - CPC - PROCÉDURE APPLICABLE De manière surprenante, le CPC soumet les actions possessoires à la procédure ordinaire ou simplifiée, selon que la valeur litigieuse dépasse ou non CHF 30'000.-. Mesures provisionnelles (art. 261 ss) exceptées, la procédure sommaire n'est prévue que lorsque le cas est clair au sens de l'art. 257 CPC. Cette disposition soumet la protection à la condition que l'état de fait ne soit pas litigieux ou, s'il l'est, qu'il soit susceptible d'être immédiatement prouvé et que la situation juridique soit claire. Selon le message, cela ne peut être le cas que si la norme s'applique au cas concret et y déploie ses effets de manière évidente, sur la base d'une doctrine et d'une jurisprudence éprouvées (FF 2006 6959).</w:t>
      </w:r>
    </w:p>
    <w:p>
      <w:pPr>
        <w:pStyle w:val="Heading2"/>
      </w:pPr>
      <w:r>
        <w:t>Volltext</w:t>
      </w:r>
    </w:p>
    <w:p>
      <w:r>
        <w:t>Résumé: ACTION POSSESSOIRE - CPC - PROCÉDURE APPLICABLE De manière surprenante, le CPC soumet les actions possessoires à la procédure ordinaire ou simplifiée, selon que la valeur litigieuse dépasse ou non CHF 30'000.-. Mesures provisionnelles (art. 261 ss) exceptées, la procédure sommaire n'est prévue que lorsque le cas est clair au sens de l'art. 257 CPC. Cette disposition soumet la protection à la condition que l'état de fait ne soit pas litigieux ou, s'il l'est, qu'il soit susceptible d'être immédiatement prouvé et que la situation juridique soit claire. Selon le message, cela ne peut être le cas que si la norme s'applique au cas concret et y déploie ses effets de manière évidente, sur la base d'une doctrine et d'une jurisprudence éprouvées (FF 2006 6959).</w:t>
      </w:r>
    </w:p>
    <w:p>
      <w:r>
        <w:t>Descripteurs: Descripteurs: BAIL A LOYER; PROCEDURE; PROTECTION DE LA POSSESSION</w:t>
      </w:r>
    </w:p>
    <w:p>
      <w:r>
        <w:t>Normes: Normes: CC.928; CPC.219; CPC.243;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