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4P.328/2001 vom 18. März 2002</w:t>
      </w:r>
    </w:p>
    <w:p>
      <w:r>
        <w:t>GE Cour de justice, 2002-03-18, FR</w:t>
      </w:r>
    </w:p>
    <w:p>
      <w:r>
        <w:rPr>
          <w:b/>
        </w:rPr>
        <w:t xml:space="preserve">Quelle: </w:t>
      </w:r>
      <w:r>
        <w:t>https://mcp.opencaselaw.ch/entscheid/ge_gerichte_4P.328_2001</w:t>
      </w:r>
    </w:p>
    <w:p>
      <w:r>
        <w:t>FR: GE_GERICHTE 4P.328/2001 du 18 mars 2002</w:t>
      </w:r>
    </w:p>
    <w:p>
      <w:r>
        <w:t>IT: GE_GERICHTE 4P.328/2001 del 18 marzo 2002</w:t>
      </w:r>
    </w:p>
    <w:p>
      <w:pPr>
        <w:pStyle w:val="Heading2"/>
      </w:pPr>
      <w:r>
        <w:t>Regeste</w:t>
      </w:r>
    </w:p>
    <w:p>
      <w:r>
        <w:t>Résumé: CONTRAT DE BAIL - COMPÉTENCE RATIONE MATERIAE - CONVENTION IMPLIQUANT L'UTILISATION DE COURTS DE TENNIS Une convention portant sur la location de courts de tennis intérieurs et extérieurs doit être soumise aux règles du droit du bail et le Tribunal des baux et loyers est compétent pour trancher le litige (56M LOJ) même si seul le court intérieur peut être qualifié de local commercial au sens de l'art. 253a al. 1 CO (cf. ATF124 III 108consid. 2b p. 110). En conséquence, la résiliation de la convention devait être effectuée au moyen de la formule agréée par le canton, conformément à l'article 266l CO.</w:t>
      </w:r>
    </w:p>
    <w:p>
      <w:pPr>
        <w:pStyle w:val="Heading2"/>
      </w:pPr>
      <w:r>
        <w:t>Volltext</w:t>
      </w:r>
    </w:p>
    <w:p>
      <w:r>
        <w:t>Résumé: CONTRAT DE BAIL - COMPÉTENCE RATIONE MATERIAE - CONVENTION IMPLIQUANT L'UTILISATION DE COURTS DE TENNIS Une convention portant sur la location de courts de tennis intérieurs et extérieurs doit être soumise aux règles du droit du bail et le Tribunal des baux et loyers est compétent pour trancher le litige (56M LOJ) même si seul le court intérieur peut être qualifié de local commercial au sens de l'art. 253a al. 1 CO (cf. ATF124 III 108consid. 2b p. 110). En conséquence, la résiliation de la convention devait être effectuée au moyen de la formule agréée par le canton, conformément à l'article 266l CO.</w:t>
      </w:r>
    </w:p>
    <w:p>
      <w:r>
        <w:t>Descripteurs: Descripteurs: BAIL A LOYER; COMPETENCE RATIONE MATERIAE; LOCAL PROFESSIONNEL; COURT DE TENNIS</w:t>
      </w:r>
    </w:p>
    <w:p>
      <w:r>
        <w:t>Normes: Normes: CO.253; aLOJ.56M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