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4C.67/2002 vom 30. Mai 2002</w:t>
      </w:r>
    </w:p>
    <w:p>
      <w:r>
        <w:t>GE Cour de justice, 2002-05-30, FR</w:t>
      </w:r>
    </w:p>
    <w:p>
      <w:r>
        <w:rPr>
          <w:b/>
        </w:rPr>
        <w:t xml:space="preserve">Quelle: </w:t>
      </w:r>
      <w:r>
        <w:t>https://mcp.opencaselaw.ch/entscheid/ge_gerichte_4C.67_2002</w:t>
      </w:r>
    </w:p>
    <w:p>
      <w:r>
        <w:t>FR: GE_GERICHTE 4C.67/2002 du 30 mai 2002</w:t>
      </w:r>
    </w:p>
    <w:p>
      <w:r>
        <w:t>IT: GE_GERICHTE 4C.67/2002 del 30 maggio 2002</w:t>
      </w:r>
    </w:p>
    <w:p>
      <w:pPr>
        <w:pStyle w:val="Heading2"/>
      </w:pPr>
      <w:r>
        <w:t>Regeste</w:t>
      </w:r>
    </w:p>
    <w:p>
      <w:r>
        <w:t>Résumé: SÛRETÉS FOURNIES PAR LE LOCATAIRE : BUT DE L'OBLIGATION ET CONSÉQUENCE DE SA VIOLATION SUR L'AFFECTATION DE LA SOMME REÇUE Les sûretés visent à garantir l'exécution des obligations contractées par le locataire. Le but de l'obligation du bailleur de déposer le montant reçu à titre de garantie sur un compte au nom du locataire est notamment de protéger ce dernier des conséquences d'une éventuelle faillite du bailleur. Le fait que ce dernier viole cette obligation ne modifie pas d'office l'affectation de la somme reçue (cf. HIGI, Commentaire zurichois, n° 23 et 30 s. ad art. 257e CO; SVIT-Kommentar, n° 16 ad art. 257e CO; LACHAT/STOLL/BRUNNER, Das Mietrecht fur die Praxis, 4e éd., n° 2.2.4 s.). A défaut d'accord exprès, on ne peut donc considérer que les sûretés constituent des loyers payés d'avance (in casu: procédure sur 257d CO).</w:t>
      </w:r>
    </w:p>
    <w:p>
      <w:pPr>
        <w:pStyle w:val="Heading2"/>
      </w:pPr>
      <w:r>
        <w:t>Volltext</w:t>
      </w:r>
    </w:p>
    <w:p>
      <w:r>
        <w:t>Résumé: SÛRETÉS FOURNIES PAR LE LOCATAIRE : BUT DE L'OBLIGATION ET CONSÉQUENCE DE SA VIOLATION SUR L'AFFECTATION DE LA SOMME REÇUE Les sûretés visent à garantir l'exécution des obligations contractées par le locataire. Le but de l'obligation du bailleur de déposer le montant reçu à titre de garantie sur un compte au nom du locataire est notamment de protéger ce dernier des conséquences d'une éventuelle faillite du bailleur. Le fait que ce dernier viole cette obligation ne modifie pas d'office l'affectation de la somme reçue (cf. HIGI, Commentaire zurichois, n° 23 et 30 s. ad art. 257e CO; SVIT-Kommentar, n° 16 ad art. 257e CO; LACHAT/STOLL/BRUNNER, Das Mietrecht fur die Praxis, 4e éd., n° 2.2.4 s.). A défaut d'accord exprès, on ne peut donc considérer que les sûretés constituent des loyers payés d'avance (in casu: procédure sur 257d CO).</w:t>
      </w:r>
    </w:p>
    <w:p>
      <w:r>
        <w:t>Descripteurs: Descripteurs: BAIL A FERME; SURETES; GARANTIE BANCAIRE; EVACUATION(EN GENERAL)</w:t>
      </w:r>
    </w:p>
    <w:p>
      <w:r>
        <w:t>Normes: Normes: CO.257e.al.1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