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4C.65/2002 vom 31. Mai 2002</w:t>
      </w:r>
    </w:p>
    <w:p>
      <w:r>
        <w:t>GE Cour de justice, 2002-05-31, FR</w:t>
      </w:r>
    </w:p>
    <w:p>
      <w:r>
        <w:rPr>
          <w:b/>
        </w:rPr>
        <w:t xml:space="preserve">Quelle: </w:t>
      </w:r>
      <w:r>
        <w:t>https://mcp.opencaselaw.ch/entscheid/ge_gerichte_4C.65_2002</w:t>
      </w:r>
    </w:p>
    <w:p>
      <w:r>
        <w:t>FR: GE_GERICHTE 4C.65/2002 du 31 mai 2002</w:t>
      </w:r>
    </w:p>
    <w:p>
      <w:r>
        <w:t>IT: GE_GERICHTE 4C.65/2002 del 31 maggio 2002</w:t>
      </w:r>
    </w:p>
    <w:p>
      <w:pPr>
        <w:pStyle w:val="Heading2"/>
      </w:pPr>
      <w:r>
        <w:t>Regeste</w:t>
      </w:r>
    </w:p>
    <w:p>
      <w:r>
        <w:t>Résumé: NUISANCES DUES AU BRUIT TROUBLANT LE SOMMEIL Le bruit de chaufferie perçu dans une chambre à coucher, troublant le sommeil du locataire, constitue un défaut de moyenne importance. Le loyer modeste payé par le locataire ne permet pas au bailleur d'échapper à son obligation de remise en état de la chose. Des nuisances propres à troubler le sommeil ne sont admissibles dans aucune sorte de logement d'habitation.</w:t>
      </w:r>
    </w:p>
    <w:p>
      <w:pPr>
        <w:pStyle w:val="Heading2"/>
      </w:pPr>
      <w:r>
        <w:t>Volltext</w:t>
      </w:r>
    </w:p>
    <w:p>
      <w:r>
        <w:t>Résumé: NUISANCES DUES AU BRUIT TROUBLANT LE SOMMEIL Le bruit de chaufferie perçu dans une chambre à coucher, troublant le sommeil du locataire, constitue un défaut de moyenne importance. Le loyer modeste payé par le locataire ne permet pas au bailleur d'échapper à son obligation de remise en état de la chose. Des nuisances propres à troubler le sommeil ne sont admissibles dans aucune sorte de logement d'habitation.</w:t>
      </w:r>
    </w:p>
    <w:p>
      <w:r>
        <w:t>Descripteurs: Descripteurs: BAIL A LOYER; DEFAUT DE LA CHOSE; CHOSE LOUEE; BRUIT</w:t>
      </w:r>
    </w:p>
    <w:p>
      <w:r>
        <w:t>Normes: Normes: CO.259a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