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4C.5/2004 vom 16. März 2004</w:t>
      </w:r>
    </w:p>
    <w:p>
      <w:r>
        <w:t>GE Cour de justice, 2004-03-16, FR</w:t>
      </w:r>
    </w:p>
    <w:p>
      <w:r>
        <w:rPr>
          <w:b/>
        </w:rPr>
        <w:t xml:space="preserve">Quelle: </w:t>
      </w:r>
      <w:r>
        <w:t>https://mcp.opencaselaw.ch/entscheid/ge_gerichte_4C.5_2004</w:t>
      </w:r>
    </w:p>
    <w:p>
      <w:r>
        <w:t>FR: GE_GERICHTE 4C.5/2004 du 16 mars 2004</w:t>
      </w:r>
    </w:p>
    <w:p>
      <w:r>
        <w:t>IT: GE_GERICHTE 4C.5/2004 del 16 marzo 2004</w:t>
      </w:r>
    </w:p>
    <w:p>
      <w:pPr>
        <w:pStyle w:val="Heading2"/>
      </w:pPr>
      <w:r>
        <w:t>Regeste</w:t>
      </w:r>
    </w:p>
    <w:p>
      <w:r>
        <w:t>Résumé: NOTION D'HABITATION DE LUXE Pour dire si l'habitation est luxueuse, il faut se placer au moment où le loyer litigieux doit être fixé, et non au début du bail. Une construction ancienne, qui offre un niveau de confort inférieur aux maisons modernes, peut aussi entrer dans la catégorie des logements de luxe en raison de son attrait historique et de son intérêt architectural.</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