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4C.387/2004 vom 17. März 2005</w:t>
      </w:r>
    </w:p>
    <w:p>
      <w:r>
        <w:t>GE Cour de justice, 2005-03-17, FR</w:t>
      </w:r>
    </w:p>
    <w:p>
      <w:r>
        <w:rPr>
          <w:b/>
        </w:rPr>
        <w:t xml:space="preserve">Quelle: </w:t>
      </w:r>
      <w:r>
        <w:t>https://mcp.opencaselaw.ch/entscheid/ge_gerichte_4C.387_2004</w:t>
      </w:r>
    </w:p>
    <w:p>
      <w:r>
        <w:t>FR: GE_GERICHTE 4C.387/2004 du 17 mars 2005</w:t>
      </w:r>
    </w:p>
    <w:p>
      <w:r>
        <w:t>IT: GE_GERICHTE 4C.387/2004 del 17 marzo 2005</w:t>
      </w:r>
    </w:p>
    <w:p>
      <w:pPr>
        <w:pStyle w:val="Heading2"/>
      </w:pPr>
      <w:r>
        <w:t>Regeste</w:t>
      </w:r>
    </w:p>
    <w:p>
      <w:r>
        <w:t>Résumé: DÉFAUT DE LA CHOSE LOUÉE - ABSENCE DE STORES EXTÉRIEURS Le fait d'avoir prévu de grandes surfaces vitrées sans aucune protection pour les appartements en attique, ce qui provoque des désagréments liés à la chaleur et à la luminosité excessives, constitue un défaut, quand bien même il ne s'agissait pas d'une qualité promise.</w:t>
      </w:r>
    </w:p>
    <w:p>
      <w:pPr>
        <w:pStyle w:val="Heading2"/>
      </w:pPr>
      <w:r>
        <w:t>Volltext</w:t>
      </w:r>
    </w:p>
    <w:p>
      <w:r>
        <w:t>Résumé: DÉFAUT DE LA CHOSE LOUÉE - ABSENCE DE STORES EXTÉRIEURS Le fait d'avoir prévu de grandes surfaces vitrées sans aucune protection pour les appartements en attique, ce qui provoque des désagréments liés à la chaleur et à la luminosité excessives, constitue un défaut, quand bien même il ne s'agissait pas d'une qualité promise.</w:t>
      </w:r>
    </w:p>
    <w:p>
      <w:r>
        <w:t>Descripteurs: Descripteurs: BAIL A LOYER; DEFAUT DE LA CHOSE; CHOSE LOUEE</w:t>
      </w:r>
    </w:p>
    <w:p>
      <w:r>
        <w:t>Normes: Normes: CO.259a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