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4C.377/2004 vom 2. Dezember 2004</w:t>
      </w:r>
    </w:p>
    <w:p>
      <w:r>
        <w:t>GE Cour de justice, 2004-12-02, FR</w:t>
      </w:r>
    </w:p>
    <w:p>
      <w:r>
        <w:rPr>
          <w:b/>
        </w:rPr>
        <w:t xml:space="preserve">Quelle: </w:t>
      </w:r>
      <w:r>
        <w:t>https://mcp.opencaselaw.ch/entscheid/ge_gerichte_4C.377_2004</w:t>
      </w:r>
    </w:p>
    <w:p>
      <w:r>
        <w:t>FR: GE_GERICHTE 4C.377/2004 du 2 décembre 2004</w:t>
      </w:r>
    </w:p>
    <w:p>
      <w:r>
        <w:t>IT: GE_GERICHTE 4C.377/2004 del 2 dicembre 2004</w:t>
      </w:r>
    </w:p>
    <w:p>
      <w:pPr>
        <w:pStyle w:val="Heading2"/>
      </w:pPr>
      <w:r>
        <w:t>Regeste</w:t>
      </w:r>
    </w:p>
    <w:p>
      <w:r>
        <w:t>Résumé: NUISANCES - CHANTIER D'INTÉRÊT PUBLIC Le fait qu'un chantier soit d'intérêt public signifie seulement que les nuisances qui y sont liées doivent être tolérées et qu'il s'agit de perturbations inévitables, qui excluent toute action en cessation de trouble. En revanche, ce fait n'exclut pas une réduction de loyer fondée sur l'art. 259d CO.</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