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4C.341/2001 vom 10. Januar 2002</w:t>
      </w:r>
    </w:p>
    <w:p>
      <w:r>
        <w:t>GE Cour de justice, 2002-01-10, FR</w:t>
      </w:r>
    </w:p>
    <w:p>
      <w:r>
        <w:rPr>
          <w:b/>
        </w:rPr>
        <w:t xml:space="preserve">Quelle: </w:t>
      </w:r>
      <w:r>
        <w:t>https://mcp.opencaselaw.ch/entscheid/ge_gerichte_4C.341_2001</w:t>
      </w:r>
    </w:p>
    <w:p>
      <w:r>
        <w:t>FR: GE_GERICHTE 4C.341/2001 du 10 janvier 2002</w:t>
      </w:r>
    </w:p>
    <w:p>
      <w:r>
        <w:t>IT: GE_GERICHTE 4C.341/2001 del 10 gennaio 2002</w:t>
      </w:r>
    </w:p>
    <w:p>
      <w:pPr>
        <w:pStyle w:val="Heading2"/>
      </w:pPr>
      <w:r>
        <w:t>Regeste</w:t>
      </w:r>
    </w:p>
    <w:p>
      <w:r>
        <w:t>Résumé: CONSIGNATION DE LOYER - TARDIVETÉ Cas où le bail prévoit que le loyer mensuel doit être payé d'avance, soit au plus tard le dernier jour du mois précédent. Ce qui vaut pour l'obligation contractuelle (paiement du loyer) vaut également pour le substitut à son exécution (consignation). Ainsi, le loyer doit être consigné au plus tard le dernier jour du mois précédent. A défaut la consignation est opérée tardivement.</w:t>
      </w:r>
    </w:p>
    <w:p>
      <w:pPr>
        <w:pStyle w:val="Heading2"/>
      </w:pPr>
      <w:r>
        <w:t>Volltext</w:t>
      </w:r>
    </w:p>
    <w:p>
      <w:r>
        <w:t>Résumé: CONSIGNATION DE LOYER - TARDIVETÉ Cas où le bail prévoit que le loyer mensuel doit être payé d'avance, soit au plus tard le dernier jour du mois précédent. Ce qui vaut pour l'obligation contractuelle (paiement du loyer) vaut également pour le substitut à son exécution (consignation). Ainsi, le loyer doit être consigné au plus tard le dernier jour du mois précédent. A défaut la consignation est opérée tardivement.</w:t>
      </w:r>
    </w:p>
    <w:p>
      <w:r>
        <w:t>Descripteurs: Descripteurs: BAIL A LOYER; CONSIGNATION EN JUSTICE; LOYER; PAIEMENT; RETARD; DELAI; DECISION D'IRRECEVABILITE</w:t>
      </w:r>
    </w:p>
    <w:p>
      <w:r>
        <w:t>Normes: Normes: CO.259g.al.1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