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4C.323/2001 vom 9. April 2002</w:t>
      </w:r>
    </w:p>
    <w:p>
      <w:r>
        <w:t>GE Cour de justice, 2002-04-09, FR</w:t>
      </w:r>
    </w:p>
    <w:p>
      <w:r>
        <w:rPr>
          <w:b/>
        </w:rPr>
        <w:t xml:space="preserve">Quelle: </w:t>
      </w:r>
      <w:r>
        <w:t>https://mcp.opencaselaw.ch/entscheid/ge_gerichte_4C.323_2001</w:t>
      </w:r>
    </w:p>
    <w:p>
      <w:r>
        <w:t>FR: GE_GERICHTE 4C.323/2001 du 9 avril 2002</w:t>
      </w:r>
    </w:p>
    <w:p>
      <w:r>
        <w:t>IT: GE_GERICHTE 4C.323/2001 del 9 aprile 2002</w:t>
      </w:r>
    </w:p>
    <w:p>
      <w:pPr>
        <w:pStyle w:val="Heading2"/>
      </w:pPr>
      <w:r>
        <w:t>Regeste</w:t>
      </w:r>
    </w:p>
    <w:p>
      <w:r>
        <w:t>Résumé: CRITÈRES DE COMPARAISON - DIFFÉRENCE DE SURFACE ADMISSIBLE Une différence de surface allant jusqu'à 17% en plus ou en moins entre l'appartement de référence et l'exemple à comparer permet encore à celui-ci d'être pris en compte.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