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4C.308/2004 vom 10. November 2004</w:t>
      </w:r>
    </w:p>
    <w:p>
      <w:r>
        <w:t>GE Cour de justice, 2004-11-10, FR</w:t>
      </w:r>
    </w:p>
    <w:p>
      <w:r>
        <w:rPr>
          <w:b/>
        </w:rPr>
        <w:t xml:space="preserve">Quelle: </w:t>
      </w:r>
      <w:r>
        <w:t>https://mcp.opencaselaw.ch/entscheid/ge_gerichte_4C.308_2004</w:t>
      </w:r>
    </w:p>
    <w:p>
      <w:r>
        <w:t>FR: GE_GERICHTE 4C.308/2004 du 10 novembre 2004</w:t>
      </w:r>
    </w:p>
    <w:p>
      <w:r>
        <w:t>IT: GE_GERICHTE 4C.308/2004 del 10 novembre 2004</w:t>
      </w:r>
    </w:p>
    <w:p>
      <w:pPr>
        <w:pStyle w:val="Heading2"/>
      </w:pPr>
      <w:r>
        <w:t>Regeste</w:t>
      </w:r>
    </w:p>
    <w:p>
      <w:r>
        <w:t>Résumé: AVIS DE RÉSILIATION - PHOTOCOPIE Seul l'original du formulaire de résiliation dûment signé remplit les conditions de validité requises. Une copie de ce formulaire n'a aucune valeur légale.</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