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4C.282/2003 vom 15. Dezember 2003</w:t>
      </w:r>
    </w:p>
    <w:p>
      <w:r>
        <w:t>GE Cour de justice, 2003-12-15, FR</w:t>
      </w:r>
    </w:p>
    <w:p>
      <w:r>
        <w:rPr>
          <w:b/>
        </w:rPr>
        <w:t xml:space="preserve">Quelle: </w:t>
      </w:r>
      <w:r>
        <w:t>https://mcp.opencaselaw.ch/entscheid/ge_gerichte_4C.282_2003</w:t>
      </w:r>
    </w:p>
    <w:p>
      <w:r>
        <w:t>FR: GE_GERICHTE 4C.282/2003 du 15 décembre 2003</w:t>
      </w:r>
    </w:p>
    <w:p>
      <w:r>
        <w:t>IT: GE_GERICHTE 4C.282/2003 del 15 dicembre 2003</w:t>
      </w:r>
    </w:p>
    <w:p>
      <w:pPr>
        <w:pStyle w:val="Heading2"/>
      </w:pPr>
      <w:r>
        <w:t>Regeste</w:t>
      </w:r>
    </w:p>
    <w:p>
      <w:r>
        <w:t>Résumé: AUTORITÉ COMPÉTENTE EN CAS DE CLAUSE D'ARBITRAGE - COMPRÉHENSION DE LA CLAUSE D'ARBITRAGE Si l'art. 274c CO interdit aux parties à un bail d'habitation de désigner librement un tribunal arbitral et par là même d'exclure la compétence des autorités judiciaires étatiques, les parties à un bail portant sur un local commercial peuvent signer une clause d'arbitrage. Dans le cas d'un contrat mixte innommé (mandat, agence, bail à loyer, bail à ferme) portant sur le transfert de l'exploitation d'une station-service et comportant une clause d'arbitrage, cette dernière est valable car l'aspect commercial est indéniable. Les relations d'affaires internationales étant chose courante, une partie ne devrait pas pouvoir valablement soutenir qu'elle n'a pas vu, pas lu, pas compris une clause d'arbitrage claire. Il n'est pas nécessaire d'imposer à celui qui se prévaut de la clause, d'apporter la preuve que son cocontractant a été rendu attentif à la convention d'arbitrage et à son contenu.</w:t>
      </w:r>
    </w:p>
    <w:p>
      <w:pPr>
        <w:pStyle w:val="Heading2"/>
      </w:pPr>
      <w:r>
        <w:t>Volltext</w:t>
      </w:r>
    </w:p>
    <w:p>
      <w:r>
        <w:t>Résumé: AUTORITÉ COMPÉTENTE EN CAS DE CLAUSE D'ARBITRAGE - COMPRÉHENSION DE LA CLAUSE D'ARBITRAGE Si l'art. 274c CO interdit aux parties à un bail d'habitation de désigner librement un tribunal arbitral et par là même d'exclure la compétence des autorités judiciaires étatiques, les parties à un bail portant sur un local commercial peuvent signer une clause d'arbitrage. Dans le cas d'un contrat mixte innommé (mandat, agence, bail à loyer, bail à ferme) portant sur le transfert de l'exploitation d'une station-service et comportant une clause d'arbitrage, cette dernière est valable car l'aspect commercial est indéniable. Les relations d'affaires internationales étant chose courante, une partie ne devrait pas pouvoir valablement soutenir qu'elle n'a pas vu, pas lu, pas compris une clause d'arbitrage claire. Il n'est pas nécessaire d'imposer à celui qui se prévaut de la clause, d'apporter la preuve que son cocontractant a été rendu attentif à la convention d'arbitrage et à son contenu.</w:t>
      </w:r>
    </w:p>
    <w:p>
      <w:r>
        <w:t>Descripteurs: Descripteurs: BAIL A LOYER; PROCEDURE; COMPETENCE; CONTENU DU CONTRAT; STATION-SERVICE</w:t>
      </w:r>
    </w:p>
    <w:p>
      <w:r>
        <w:t>Normes: Normes: CO.274c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