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4C.176/2003 vom 13. Januar 2004</w:t>
      </w:r>
    </w:p>
    <w:p>
      <w:r>
        <w:t>GE Cour de justice, 2004-01-13, FR</w:t>
      </w:r>
    </w:p>
    <w:p>
      <w:r>
        <w:rPr>
          <w:b/>
        </w:rPr>
        <w:t xml:space="preserve">Quelle: </w:t>
      </w:r>
      <w:r>
        <w:t>https://mcp.opencaselaw.ch/entscheid/ge_gerichte_4C.176_2003</w:t>
      </w:r>
    </w:p>
    <w:p>
      <w:r>
        <w:t>FR: GE_GERICHTE 4C.176/2003 du 13 janvier 2004</w:t>
      </w:r>
    </w:p>
    <w:p>
      <w:r>
        <w:t>IT: GE_GERICHTE 4C.176/2003 del 13 gennaio 2004</w:t>
      </w:r>
    </w:p>
    <w:p>
      <w:pPr>
        <w:pStyle w:val="Heading2"/>
      </w:pPr>
      <w:r>
        <w:t>Regeste</w:t>
      </w:r>
    </w:p>
    <w:p>
      <w:r>
        <w:t>Résumé: LOYERS USUELS - PRISE EN COMPTE DES STATISTIQUES OFFICIELLES Une statistique officielle qui ne remplit pas à tout point de vue les exigences de l'art. 11 OBLF, peut au moins être prise en compte comme un instrument livrant des points de repère en rapport avec le loyer usuel.</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