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4C.114/2004 vom 9. Juli 2004</w:t>
      </w:r>
    </w:p>
    <w:p>
      <w:r>
        <w:t>GE Cour de justice, 2004-07-09, FR</w:t>
      </w:r>
    </w:p>
    <w:p>
      <w:r>
        <w:rPr>
          <w:b/>
        </w:rPr>
        <w:t xml:space="preserve">Quelle: </w:t>
      </w:r>
      <w:r>
        <w:t>https://mcp.opencaselaw.ch/entscheid/ge_gerichte_4C.114_2004</w:t>
      </w:r>
    </w:p>
    <w:p>
      <w:r>
        <w:t>FR: GE_GERICHTE 4C.114/2004 du 9 juillet 2004</w:t>
      </w:r>
    </w:p>
    <w:p>
      <w:r>
        <w:t>IT: GE_GERICHTE 4C.114/2004 del 9 luglio 2004</w:t>
      </w:r>
    </w:p>
    <w:p>
      <w:pPr>
        <w:pStyle w:val="Heading2"/>
      </w:pPr>
      <w:r>
        <w:t>Regeste</w:t>
      </w:r>
    </w:p>
    <w:p>
      <w:r>
        <w:t>Résumé: HAUSSE DE LOYER - VALIDITÉ FORMELLE DES AVIS DE MAJORATION PÉRIMÉS L'élément essentiel, impliqué par la protection des locataires, réside dans le contrôle étatique des renseignements donnés à ceux-ci, qui doivent être conformes aux exigences de l'art. 19 al. 1 OBLF. Lorsque les conditions de validité matérielle sont réalisées, au sens de la disposition précitée, et qu'un contrôle par une autorité cantonale publique a été opéré, la nullité de la hausse ne doit en principe pas être prononcée. En l'espèce, la notification de formules antérieures à une modification des formules officielles homologuées par le canton est conforme aux exigences légales, dès lors qu'elles ont la même teneur et respectent les dispositions légales et réglementaires qu'elles mettent en oeuvre, dans l'intérêt de l'information des locataires.</w:t>
      </w:r>
    </w:p>
    <w:p>
      <w:pPr>
        <w:pStyle w:val="Heading2"/>
      </w:pPr>
      <w:r>
        <w:t>Volltext</w:t>
      </w:r>
    </w:p>
    <w:p>
      <w:r>
        <w:t>Résumé: HAUSSE DE LOYER - VALIDITÉ FORMELLE DES AVIS DE MAJORATION PÉRIMÉS L'élément essentiel, impliqué par la protection des locataires, réside dans le contrôle étatique des renseignements donnés à ceux-ci, qui doivent être conformes aux exigences de l'art. 19 al. 1 OBLF. Lorsque les conditions de validité matérielle sont réalisées, au sens de la disposition précitée, et qu'un contrôle par une autorité cantonale publique a été opéré, la nullité de la hausse ne doit en principe pas être prononcée. En l'espèce, la notification de formules antérieures à une modification des formules officielles homologuées par le canton est conforme aux exigences légales, dès lors qu'elles ont la même teneur et respectent les dispositions légales et réglementaires qu'elles mettent en oeuvre, dans l'intérêt de l'information des locataires.</w:t>
      </w:r>
    </w:p>
    <w:p>
      <w:r>
        <w:t>Descripteurs: Descripteurs: BAIL A LOYER; AVIS DE MAJORATION DE LOYER; LOYER; AUGMENTATION(EN GENERAL); COMMUNICATION; FORME ET CONTENU; FORMULE OFFICIELLE</w:t>
      </w:r>
    </w:p>
    <w:p>
      <w:r>
        <w:t>Normes: Normes: CO.269d; OBLF.19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