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4A_83/2022 vom 22. August 2022</w:t>
      </w:r>
    </w:p>
    <w:p>
      <w:r>
        <w:t>GE Cour de justice, 2022-08-22, FR</w:t>
      </w:r>
    </w:p>
    <w:p>
      <w:r>
        <w:rPr>
          <w:b/>
        </w:rPr>
        <w:t xml:space="preserve">Quelle: </w:t>
      </w:r>
      <w:r>
        <w:t>https://mcp.opencaselaw.ch/entscheid/ge_gerichte_4A_83_2022</w:t>
      </w:r>
    </w:p>
    <w:p>
      <w:r>
        <w:t>FR: GE_GERICHTE 4A_83/2022 du 22 août 2022</w:t>
      </w:r>
    </w:p>
    <w:p>
      <w:r>
        <w:t>IT: GE_GERICHTE 4A_83/2022 del 22 agosto 2022</w:t>
      </w:r>
    </w:p>
    <w:p>
      <w:pPr>
        <w:pStyle w:val="Heading2"/>
      </w:pPr>
      <w:r>
        <w:t>Regeste</w:t>
      </w:r>
    </w:p>
    <w:p>
      <w:r>
        <w:t>Résumé: ABSENCE DE FORMULE OFFICIELLE - ABUS DE DROIT Le locataire a agi de manière abusive en invoquant la nullité du loyer initial. Le locataire est avocat – et l’était déjà au moment de la conclusion du contrat – et a de l’expérience dans le domaine de droit du bail, de sorte qu’il devait connaître l’exigence de la formule officielle en cas de nouveau bail et ne pouvait se prévaloir de la nullité du loyer initial.</w:t>
      </w:r>
    </w:p>
    <w:p>
      <w:pPr>
        <w:pStyle w:val="Heading2"/>
      </w:pPr>
      <w:r>
        <w:t>Volltext</w:t>
      </w:r>
    </w:p>
    <w:p>
      <w:r>
        <w:t>Résumé: ABSENCE DE FORMULE OFFICIELLE - ABUS DE DROIT Le locataire a agi de manière abusive en invoquant la nullité du loyer initial. Le locataire est avocat – et l’était déjà au moment de la conclusion du contrat – et a de l’expérience dans le domaine de droit du bail, de sorte qu’il devait connaître l’exigence de la formule officielle en cas de nouveau bail et ne pouvait se prévaloir de la nullité du loyer initial.</w:t>
      </w:r>
    </w:p>
    <w:p>
      <w:r>
        <w:t>Descripteurs: Descripteurs: BAIL À LOYER;LOYER;FORMULE OFFICIELLE;ABUS DE DROIT</w:t>
      </w:r>
    </w:p>
    <w:p>
      <w:r>
        <w:t>Normes: Normes: CO.270.al2; CO.2.al2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