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4A_75/2015 vom 9. Juni 2015</w:t>
      </w:r>
    </w:p>
    <w:p>
      <w:r>
        <w:t>GE Cour de justice, 2015-06-09, FR</w:t>
      </w:r>
    </w:p>
    <w:p>
      <w:r>
        <w:rPr>
          <w:b/>
        </w:rPr>
        <w:t xml:space="preserve">Quelle: </w:t>
      </w:r>
      <w:r>
        <w:t>https://mcp.opencaselaw.ch/entscheid/ge_gerichte_4A_75_2015</w:t>
      </w:r>
    </w:p>
    <w:p>
      <w:r>
        <w:t>FR: GE_GERICHTE 4A_75/2015 du 9 juin 2015</w:t>
      </w:r>
    </w:p>
    <w:p>
      <w:r>
        <w:t>IT: GE_GERICHTE 4A_75/2015 del 9 giugno 2015</w:t>
      </w:r>
    </w:p>
    <w:p>
      <w:pPr>
        <w:pStyle w:val="Heading2"/>
      </w:pPr>
      <w:r>
        <w:t>Regeste</w:t>
      </w:r>
    </w:p>
    <w:p>
      <w:r>
        <w:t>Résumé: CLAUSE INTERDISANT LA SOUS-LOCATION - NULLITÉ L'art. 262 CO, relatif à la sous-location, est de droit relativement impératif. Le bailleur ne peut refuser son consentement à la sous-location si les conditions de l'art. 262 al. 2 CO sont remplies. La clause d'un contrat de bail interdisant la sous-location est donc nulle.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