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4A_74/2021 vom 30. April 2021</w:t>
      </w:r>
    </w:p>
    <w:p>
      <w:r>
        <w:t>GE Cour de justice, 2021-04-30, FR</w:t>
      </w:r>
    </w:p>
    <w:p>
      <w:r>
        <w:rPr>
          <w:b/>
        </w:rPr>
        <w:t xml:space="preserve">Quelle: </w:t>
      </w:r>
      <w:r>
        <w:t>https://mcp.opencaselaw.ch/entscheid/ge_gerichte_4A_74_2021</w:t>
      </w:r>
    </w:p>
    <w:p>
      <w:r>
        <w:t>FR: GE_GERICHTE 4A_74/2021 du 30 avril 2021</w:t>
      </w:r>
    </w:p>
    <w:p>
      <w:r>
        <w:t>IT: GE_GERICHTE 4A_74/2021 del 30 aprile 2021</w:t>
      </w:r>
    </w:p>
    <w:p>
      <w:pPr>
        <w:pStyle w:val="Heading2"/>
      </w:pPr>
      <w:r>
        <w:t>Regeste</w:t>
      </w:r>
    </w:p>
    <w:p>
      <w:r>
        <w:t>Résumé: MODIFICATION UNILATERALE DU REGLEMENT DE MAISON L'adaptation du règlement de maison constitue une modification unilatérale du contrat au sens de l'art. 269d al. 3 CO, la nouvelle réglementation renforçant le cadre dans lequel la pratique de la musique est autorisée. Les modifications unilatérales du contrat peuvent être soumises au contrôle du juge quant à leur caractère abusif ou non, conformément à l'art. 2 CC.</w:t>
      </w:r>
    </w:p>
    <w:p>
      <w:pPr>
        <w:pStyle w:val="Heading2"/>
      </w:pPr>
      <w:r>
        <w:t>Volltext</w:t>
      </w:r>
    </w:p>
    <w:p>
      <w:r>
        <w:t>Résumé: MODIFICATION UNILATERALE DU REGLEMENT DE MAISON L'adaptation du règlement de maison constitue une modification unilatérale du contrat au sens de l'art. 269d al. 3 CO, la nouvelle réglementation renforçant le cadre dans lequel la pratique de la musique est autorisée. Les modifications unilatérales du contrat peuvent être soumises au contrôle du juge quant à leur caractère abusif ou non, conformément à l'art. 2 CC.</w:t>
      </w:r>
    </w:p>
    <w:p>
      <w:r>
        <w:t>Descripteurs: Descripteurs: BAIL À LOYER;MODIFICATION(EN GÉNÉRAL)</w:t>
      </w:r>
    </w:p>
    <w:p>
      <w:r>
        <w:t>Normes: Normes: CO.269d; CO.270b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