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4A_737/2012 vom 21. Mai 2013</w:t>
      </w:r>
    </w:p>
    <w:p>
      <w:r>
        <w:t>GE Cour de justice, 2013-05-21, FR</w:t>
      </w:r>
    </w:p>
    <w:p>
      <w:r>
        <w:rPr>
          <w:b/>
        </w:rPr>
        <w:t xml:space="preserve">Quelle: </w:t>
      </w:r>
      <w:r>
        <w:t>https://mcp.opencaselaw.ch/entscheid/ge_gerichte_4A_737_2012</w:t>
      </w:r>
    </w:p>
    <w:p>
      <w:r>
        <w:t>FR: GE_GERICHTE 4A_737/2012 du 21 mai 2013</w:t>
      </w:r>
    </w:p>
    <w:p>
      <w:r>
        <w:t>IT: GE_GERICHTE 4A_737/2012 del 21 maggio 2013</w:t>
      </w:r>
    </w:p>
    <w:p>
      <w:pPr>
        <w:pStyle w:val="Heading2"/>
      </w:pPr>
      <w:r>
        <w:t>Regeste</w:t>
      </w:r>
    </w:p>
    <w:p>
      <w:r>
        <w:t>Résumé: TRAVAUX À PLUS-VALUE - RÉPARTITION DU COÛT SELON NOMBRE DE PIÈCES Le juge ne peut s'écarter d'une méthode de répartition des coûts liés à des travaux à plus-value que si la clé de répartition appliquée par le bailleur se révèle insoutenable. Tel n'est manifestement pas le cas d'une répartition des coûts fondée sur le nombre de pièces par appartement loué.</w:t>
      </w:r>
    </w:p>
    <w:p>
      <w:pPr>
        <w:pStyle w:val="Heading2"/>
      </w:pPr>
      <w:r>
        <w:t>Volltext</w:t>
      </w:r>
    </w:p>
    <w:p>
      <w:r>
        <w:t>Résumé: TRAVAUX À PLUS-VALUE - RÉPARTITION DU COÛT SELON NOMBRE DE PIÈCES Le juge ne peut s'écarter d'une méthode de répartition des coûts liés à des travaux à plus-value que si la clé de répartition appliquée par le bailleur se révèle insoutenable. Tel n'est manifestement pas le cas d'une répartition des coûts fondée sur le nombre de pièces par appartement loué.</w:t>
      </w:r>
    </w:p>
    <w:p>
      <w:r>
        <w:t>Descripteurs: Descripteurs: BAIL À LOYER ; MAJORATION DE LOYER ; PLUS-VALUE ; RÉNOVATION D'IMMEUBLE</w:t>
      </w:r>
    </w:p>
    <w:p>
      <w:r>
        <w:t>Normes: Normes: CO.269a.let.b; OBLF.14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