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4A_727/2012 vom 21. Mai 2013</w:t>
      </w:r>
    </w:p>
    <w:p>
      <w:r>
        <w:t>GE Cour de justice, 2013-05-21, FR</w:t>
      </w:r>
    </w:p>
    <w:p>
      <w:r>
        <w:rPr>
          <w:b/>
        </w:rPr>
        <w:t xml:space="preserve">Quelle: </w:t>
      </w:r>
      <w:r>
        <w:t>https://mcp.opencaselaw.ch/entscheid/ge_gerichte_4A_727_2012</w:t>
      </w:r>
    </w:p>
    <w:p>
      <w:r>
        <w:t>FR: GE_GERICHTE 4A_727/2012 du 21 mai 2013</w:t>
      </w:r>
    </w:p>
    <w:p>
      <w:r>
        <w:t>IT: GE_GERICHTE 4A_727/2012 del 21 maggio 2013</w:t>
      </w:r>
    </w:p>
    <w:p>
      <w:pPr>
        <w:pStyle w:val="Heading2"/>
      </w:pPr>
      <w:r>
        <w:t>Regeste</w:t>
      </w:r>
    </w:p>
    <w:p>
      <w:r>
        <w:t>Résumé: PRESTATIONS SUPPLÉMENTAIRES DU BAILLEUR - RÉPARTITION DES COÛTS ENTRE LOCATAIRES En l'absence de norme fédérale, il appartient au bailleur de choisir le mode de répartition du coût de prestations supplémentaires entre les locataires de l'immeuble; le juge n'interviendra que si la méthode adoptée est insoutenable.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