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4A_726/2012 vom 30. April 2013</w:t>
      </w:r>
    </w:p>
    <w:p>
      <w:r>
        <w:t>GE Cour de justice, 2013-04-30, FR</w:t>
      </w:r>
    </w:p>
    <w:p>
      <w:r>
        <w:rPr>
          <w:b/>
        </w:rPr>
        <w:t xml:space="preserve">Quelle: </w:t>
      </w:r>
      <w:r>
        <w:t>https://mcp.opencaselaw.ch/entscheid/ge_gerichte_4A_726_2012</w:t>
      </w:r>
    </w:p>
    <w:p>
      <w:r>
        <w:t>FR: GE_GERICHTE 4A_726/2012 du 30 avril 2013</w:t>
      </w:r>
    </w:p>
    <w:p>
      <w:r>
        <w:t>IT: GE_GERICHTE 4A_726/2012 del 30 aprile 2013</w:t>
      </w:r>
    </w:p>
    <w:p>
      <w:pPr>
        <w:pStyle w:val="Heading2"/>
      </w:pPr>
      <w:r>
        <w:t>Regeste</w:t>
      </w:r>
    </w:p>
    <w:p>
      <w:r>
        <w:t>Résumé: RESILIATION DU BAIL EN VUE DE CHANGER L'AFFECTATION DES LOCAUX - AUTORISATIONS Le problème se pose de la façon suivante: - soit le motif de congé invoqué est bien réel, auquel cas le locataire doit rapporter la preuve que le projet de changer l'affectation des locaux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 quant à la faisabilité du projet peut être l'un des indices que le motif invoqué n'est qu'un prétexte.</w:t>
      </w:r>
    </w:p>
    <w:p>
      <w:pPr>
        <w:pStyle w:val="Heading2"/>
      </w:pPr>
      <w:r>
        <w:t>Volltext</w:t>
      </w:r>
    </w:p>
    <w:p>
      <w:r>
        <w:t>Résumé: RESILIATION DU BAIL EN VUE DE CHANGER L'AFFECTATION DES LOCAUX - AUTORISATIONS Le problème se pose de la façon suivante: - soit le motif de congé invoqué est bien réel, auquel cas le locataire doit rapporter la preuve que le projet de changer l'affectation des locaux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 quant à la faisabilité du projet peut être l'un des indices que le motif invoqué n'est qu'un prétexte.</w:t>
      </w:r>
    </w:p>
    <w:p>
      <w:r>
        <w:t>Descripteurs: Descripteurs: BAIL À LOYER ; RÉSILIATION ; CONTESTATION DU CONGÉ ; CHANGEMENT D'AFFECTATION</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