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4A_703/2016 vom 24. Mai 2017</w:t>
      </w:r>
    </w:p>
    <w:p>
      <w:r>
        <w:t>GE Cour de justice, 2017-05-24, FR</w:t>
      </w:r>
    </w:p>
    <w:p>
      <w:r>
        <w:rPr>
          <w:b/>
        </w:rPr>
        <w:t xml:space="preserve">Quelle: </w:t>
      </w:r>
      <w:r>
        <w:t>https://mcp.opencaselaw.ch/entscheid/ge_gerichte_4A_703_2016</w:t>
      </w:r>
    </w:p>
    <w:p>
      <w:r>
        <w:t>FR: GE_GERICHTE 4A_703/2016 du 24 mai 2017</w:t>
      </w:r>
    </w:p>
    <w:p>
      <w:r>
        <w:t>IT: GE_GERICHTE 4A_703/2016 del 24 maggio 2017</w:t>
      </w:r>
    </w:p>
    <w:p>
      <w:pPr>
        <w:pStyle w:val="Heading2"/>
      </w:pPr>
      <w:r>
        <w:t>Regeste</w:t>
      </w:r>
    </w:p>
    <w:p>
      <w:r>
        <w:t>Résumé: MOTIVATION DU CONGÉ - CONGÉ-RÉNOVATION La motivation du congé ne constitue pas une condition de la validité de celui-ci. Le principe selon lequel la motivation peut avoir lieu ultérieurement à la notification de la résiliation, le cas échéant durant la procédure de première instance, s'applique à tous les types de résiliation, soit aussi pour les congés-rénovations. L'absence de motivation ou une motivation lacunaire peut toutefois être un indice que le motif réel du congé est contraire à la bonne foi.</w:t>
      </w:r>
    </w:p>
    <w:p>
      <w:pPr>
        <w:pStyle w:val="Heading2"/>
      </w:pPr>
      <w:r>
        <w:t>Volltext</w:t>
      </w:r>
    </w:p>
    <w:p>
      <w:r>
        <w:t>Résumé: MOTIVATION DU CONGÉ - CONGÉ-RÉNOVATION La motivation du congé ne constitue pas une condition de la validité de celui-ci. Le principe selon lequel la motivation peut avoir lieu ultérieurement à la notification de la résiliation, le cas échéant durant la procédure de première instance, s'applique à tous les types de résiliation, soit aussi pour les congés-rénovations. L'absence de motivation ou une motivation lacunaire peut toutefois être un indice que le motif réel du congé est contraire à la bonne foi.</w:t>
      </w:r>
    </w:p>
    <w:p>
      <w:r>
        <w:t>Descripteurs: Descripteurs: BAIL À LOYER ; RÉSILIATION ; PROTECTION CONTRE LES CONGÉS ; MOTIVATION ; RÉNOVATION D'IMMEUBLE</w:t>
      </w:r>
    </w:p>
    <w:p>
      <w:r>
        <w:t>Normes: Normes: CO.271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