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4A_689/2014 vom 7. Mai 2015</w:t>
      </w:r>
    </w:p>
    <w:p>
      <w:r>
        <w:t>GE Cour de justice, 2015-05-07, FR</w:t>
      </w:r>
    </w:p>
    <w:p>
      <w:r>
        <w:rPr>
          <w:b/>
        </w:rPr>
        <w:t xml:space="preserve">Quelle: </w:t>
      </w:r>
      <w:r>
        <w:t>https://mcp.opencaselaw.ch/entscheid/ge_gerichte_4A_689_2014</w:t>
      </w:r>
    </w:p>
    <w:p>
      <w:r>
        <w:t>FR: GE_GERICHTE 4A_689/2014 du 7 mai 2015</w:t>
      </w:r>
    </w:p>
    <w:p>
      <w:r>
        <w:t>IT: GE_GERICHTE 4A_689/2014 del 7 maggio 2015</w:t>
      </w:r>
    </w:p>
    <w:p>
      <w:pPr>
        <w:pStyle w:val="Heading2"/>
      </w:pPr>
      <w:r>
        <w:t>Regeste</w:t>
      </w:r>
    </w:p>
    <w:p>
      <w:r>
        <w:t>Résumé: LOYER ÉCHELONNÉ - ÉCHELON UNIQUE Un contrat de bail conclu pour une durée d'au moins trois ans, prévoyant une seule majoration de loyer d'un montant déterminé intervenant au moment où le bail est tacitement prolongé, constitue un contrat de bail à loyers échelonnés au sens de l'art. 269c CO.</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