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4A_647/2017 vom 7. März 2018</w:t>
      </w:r>
    </w:p>
    <w:p>
      <w:r>
        <w:t>GE Cour de justice, 2018-03-07, FR</w:t>
      </w:r>
    </w:p>
    <w:p>
      <w:r>
        <w:rPr>
          <w:b/>
        </w:rPr>
        <w:t xml:space="preserve">Quelle: </w:t>
      </w:r>
      <w:r>
        <w:t>https://mcp.opencaselaw.ch/entscheid/ge_gerichte_4A_647_2017</w:t>
      </w:r>
    </w:p>
    <w:p>
      <w:r>
        <w:t>FR: GE_GERICHTE 4A_647/2017 du 7 mars 2018</w:t>
      </w:r>
    </w:p>
    <w:p>
      <w:r>
        <w:t>IT: GE_GERICHTE 4A_647/2017 del 7 marzo 2018</w:t>
      </w:r>
    </w:p>
    <w:p>
      <w:pPr>
        <w:pStyle w:val="Heading2"/>
      </w:pPr>
      <w:r>
        <w:t>Regeste</w:t>
      </w:r>
    </w:p>
    <w:p>
      <w:r>
        <w:t>Résumé: ÉTENDUE DU DEVOIR DE DILIGENCE DU LOCATAIRE Le fait pour le locataire de repeindre la façade de l'immeuble litigieux jusqu'à hauteur du premier étage dans une teinte différente du reste du bâtiment, sans l'autorisation du bailleur, constitue une atteinte au droit de propriété de celui‐ci. Le devoir de diligence s'étend à toutes les installations à disposition du locataire comme l'ascenseur, les cages d'escaliers, les buanderies, etc.</w:t>
      </w:r>
    </w:p>
    <w:p>
      <w:pPr>
        <w:pStyle w:val="Heading2"/>
      </w:pPr>
      <w:r>
        <w:t>Volltext</w:t>
      </w:r>
    </w:p>
    <w:p>
      <w:r>
        <w:t>Résumé: ÉTENDUE DU DEVOIR DE DILIGENCE DU LOCATAIRE Le fait pour le locataire de repeindre la façade de l'immeuble litigieux jusqu'à hauteur du premier étage dans une teinte différente du reste du bâtiment, sans l'autorisation du bailleur, constitue une atteinte au droit de propriété de celui‐ci. Le devoir de diligence s'étend à toutes les installations à disposition du locataire comme l'ascenseur, les cages d'escaliers, les buanderies, etc.</w:t>
      </w:r>
    </w:p>
    <w:p>
      <w:r>
        <w:t>Descripteurs: Descripteurs: BAIL À LOYER; RÉSILIATION ANTICIPÉE; LOCATAIRE; DILIGENCE ; LOCAL PROFESSIONNEL</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