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4A_645/2011 vom 27. Januar 2012</w:t>
      </w:r>
    </w:p>
    <w:p>
      <w:r>
        <w:t>GE Cour de justice, 2012-01-27, FR</w:t>
      </w:r>
    </w:p>
    <w:p>
      <w:r>
        <w:rPr>
          <w:b/>
        </w:rPr>
        <w:t xml:space="preserve">Quelle: </w:t>
      </w:r>
      <w:r>
        <w:t>https://mcp.opencaselaw.ch/entscheid/ge_gerichte_4A_645_2011</w:t>
      </w:r>
    </w:p>
    <w:p>
      <w:r>
        <w:t>FR: GE_GERICHTE 4A_645/2011 du 27 janvier 2012</w:t>
      </w:r>
    </w:p>
    <w:p>
      <w:r>
        <w:t>IT: GE_GERICHTE 4A_645/2011 del 27 gennaio 2012</w:t>
      </w:r>
    </w:p>
    <w:p>
      <w:pPr>
        <w:pStyle w:val="Heading2"/>
      </w:pPr>
      <w:r>
        <w:t>Regeste</w:t>
      </w:r>
    </w:p>
    <w:p>
      <w:r>
        <w:t>Résumé: CALCUL DE RENDEMENT - SOCIÉTÉ IMMOBILIÈRE - PRIX DES ACTIONS Le prix de vente des actions d'une société immobilière ne peut pas, en règle générale, être considéré comme la valeur d'achat de l'immeuble. De fait, ce prix ne reflète pas nécessairement la valeur de l'immeuble social; il est en effet également dépendant de diverses particularités, telles que les dettes sociales et hypothécaires, les actifs non immobiliers (réserves latentes après déduction de la charge fiscale latente), la créance de l'actionnaire, ainsi que les recettes et dépenses de la société. Il s'ensuit que le prix d'achat des actions de la société immobilière ne peut en principe pas servir de base à la détermination du rendement admissible au sens de l'art. 269 CO.</w:t>
      </w:r>
    </w:p>
    <w:p>
      <w:pPr>
        <w:pStyle w:val="Heading2"/>
      </w:pPr>
      <w:r>
        <w:t>Volltext</w:t>
      </w:r>
    </w:p>
    <w:p>
      <w:r>
        <w:t>Résumé: CALCUL DE RENDEMENT - SOCIÉTÉ IMMOBILIÈRE - PRIX DES ACTIONS Le prix de vente des actions d'une société immobilière ne peut pas, en règle générale, être considéré comme la valeur d'achat de l'immeuble. De fait, ce prix ne reflète pas nécessairement la valeur de l'immeuble social; il est en effet également dépendant de diverses particularités, telles que les dettes sociales et hypothécaires, les actifs non immobiliers (réserves latentes après déduction de la charge fiscale latente), la créance de l'actionnaire, ainsi que les recettes et dépenses de la société. Il s'ensuit que le prix d'achat des actions de la société immobilière ne peut en principe pas servir de base à la détermination du rendement admissible au sens de l'art. 269 CO.</w:t>
      </w:r>
    </w:p>
    <w:p>
      <w:r>
        <w:t>Descripteurs: Descripteurs: BAIL A LOYER; CALCUL; RENDEMENT NET; SOCIETE IMMOBILIERE; VENTE D'IMMEUBLE; PRIX D'ACHAT; ACTION(PAPIER-VALEUR)</w:t>
      </w:r>
    </w:p>
    <w:p>
      <w:r>
        <w:t>Normes: Normes: CO.269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