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4A_631/2021 vom 6. März 2023</w:t>
      </w:r>
    </w:p>
    <w:p>
      <w:r>
        <w:t>GE Cour de justice, 2023-03-06, FR</w:t>
      </w:r>
    </w:p>
    <w:p>
      <w:r>
        <w:rPr>
          <w:b/>
        </w:rPr>
        <w:t xml:space="preserve">Quelle: </w:t>
      </w:r>
      <w:r>
        <w:t>https://mcp.opencaselaw.ch/entscheid/ge_gerichte_4A_631_2021</w:t>
      </w:r>
    </w:p>
    <w:p>
      <w:r>
        <w:t>FR: GE_GERICHTE 4A_631/2021 du 6 mars 2023</w:t>
      </w:r>
    </w:p>
    <w:p>
      <w:r>
        <w:t>IT: GE_GERICHTE 4A_631/2021 del 6 marzo 2023</w:t>
      </w:r>
    </w:p>
    <w:p>
      <w:pPr>
        <w:pStyle w:val="Heading2"/>
      </w:pPr>
      <w:r>
        <w:t>Regeste</w:t>
      </w:r>
    </w:p>
    <w:p>
      <w:r>
        <w:t>Résumé: REVISION - TRANSACTION JUDICIAIRE Une précision ou un changement de jurisprudence postérieur à la conclusion d'une transaction judiciaire ne constitue pas un motif de révision de ladite transaction.</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