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4A_622/2015 vom 4. Februar 2016</w:t>
      </w:r>
    </w:p>
    <w:p>
      <w:r>
        <w:t>GE Cour de justice, 2016-02-04, FR</w:t>
      </w:r>
    </w:p>
    <w:p>
      <w:r>
        <w:rPr>
          <w:b/>
        </w:rPr>
        <w:t xml:space="preserve">Quelle: </w:t>
      </w:r>
      <w:r>
        <w:t>https://mcp.opencaselaw.ch/entscheid/ge_gerichte_4A_622_2015</w:t>
      </w:r>
    </w:p>
    <w:p>
      <w:r>
        <w:t>FR: GE_GERICHTE 4A_622/2015 du 4 février 2016</w:t>
      </w:r>
    </w:p>
    <w:p>
      <w:r>
        <w:t>IT: GE_GERICHTE 4A_622/2015 del 4 febbraio 2016</w:t>
      </w:r>
    </w:p>
    <w:p>
      <w:pPr>
        <w:pStyle w:val="Heading2"/>
      </w:pPr>
      <w:r>
        <w:t>Regeste</w:t>
      </w:r>
    </w:p>
    <w:p>
      <w:r>
        <w:t>Résumé: CONVENTION SPÉCIALE - RENVOI AUX CONDITIONS GÉNÉRALES INSUFFISANT Le renvoi à une annexe standardisée du contrat telle que les « Conditions générales du bail à loyer pour habitations » ne suffit pas pour admettre que les parties ont passé une convention spéciale sur le paiement des frais accessoires. Les frais énumérés dans des conditions générales peuvent toutefois être facturés au locataire dans la mesure où ils peuvent être considérés comme une concrétisation des frais accessoires déjà attribués au locataire dans le contrat. L'exigence d'une convention spéciale au sens de l'art.257a al. 2 CO est remplie si le locataire peut aisément comprendre quels postes des frais accessoires sont concrètement mis à sa charge, sans avoir à les rechercher attentivement dans une annexe standardisée de plusieurs pages. C'est le cas lorsque le document intégré au contrat est clair, précis et concis ou lorsqu'il a fait l'objet non pas d'une intégration globale mais d'une intégration individuelle.</w:t>
      </w:r>
    </w:p>
    <w:p>
      <w:pPr>
        <w:pStyle w:val="Heading2"/>
      </w:pPr>
      <w:r>
        <w:t>Volltext</w:t>
      </w:r>
    </w:p>
    <w:p>
      <w:r>
        <w:t>Résumé: CONVENTION SPÉCIALE - RENVOI AUX CONDITIONS GÉNÉRALES INSUFFISANT Le renvoi à une annexe standardisée du contrat telle que les « Conditions générales du bail à loyer pour habitations » ne suffit pas pour admettre que les parties ont passé une convention spéciale sur le paiement des frais accessoires. Les frais énumérés dans des conditions générales peuvent toutefois être facturés au locataire dans la mesure où ils peuvent être considérés comme une concrétisation des frais accessoires déjà attribués au locataire dans le contrat. L'exigence d'une convention spéciale au sens de l'art.257a al. 2 CO est remplie si le locataire peut aisément comprendre quels postes des frais accessoires sont concrètement mis à sa charge, sans avoir à les rechercher attentivement dans une annexe standardisée de plusieurs pages. C'est le cas lorsque le document intégré au contrat est clair, précis et concis ou lorsqu'il a fait l'objet non pas d'une intégration globale mais d'une intégration individuelle.</w:t>
      </w:r>
    </w:p>
    <w:p>
      <w:r>
        <w:t>Descripteurs: Descripteurs: BAIL A LOYER; FRAIS ACCESSOIRES; CONDITIONS GENERALES DU CONTRAT</w:t>
      </w:r>
    </w:p>
    <w:p>
      <w:r>
        <w:t>Normes: Normes: CO.257a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