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4A_599/2015 vom 15. Juni 2016</w:t>
      </w:r>
    </w:p>
    <w:p>
      <w:r>
        <w:t>GE Cour de justice, 2016-06-15, FR</w:t>
      </w:r>
    </w:p>
    <w:p>
      <w:r>
        <w:rPr>
          <w:b/>
        </w:rPr>
        <w:t xml:space="preserve">Quelle: </w:t>
      </w:r>
      <w:r>
        <w:t>https://mcp.opencaselaw.ch/entscheid/ge_gerichte_4A_599_2015</w:t>
      </w:r>
    </w:p>
    <w:p>
      <w:r>
        <w:t>FR: GE_GERICHTE 4A_599/2015 du 15 juin 2016</w:t>
      </w:r>
    </w:p>
    <w:p>
      <w:r>
        <w:t>IT: GE_GERICHTE 4A_599/2015 del 15 giugno 2016</w:t>
      </w:r>
    </w:p>
    <w:p>
      <w:pPr>
        <w:pStyle w:val="Heading2"/>
      </w:pPr>
      <w:r>
        <w:t>Regeste</w:t>
      </w:r>
    </w:p>
    <w:p>
      <w:r>
        <w:t>Résumé: INDICATIONS DEVANT FIGURER DANS LA FORMULE - NULLITÉ Lorsque la formule officielle n'indique pas le loyer du précédent locataire ou les motifs de hausse, le loyer fixé est nul ; peu importe que le locataire ait appris d'une autre manière le montant du loyer versé par l'ancien locataire ou les motifs de hausse.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