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4A_590/2019 vom 6. Januar 2020</w:t>
      </w:r>
    </w:p>
    <w:p>
      <w:r>
        <w:t>GE Cour de justice, 2020-01-06, FR</w:t>
      </w:r>
    </w:p>
    <w:p>
      <w:r>
        <w:rPr>
          <w:b/>
        </w:rPr>
        <w:t xml:space="preserve">Quelle: </w:t>
      </w:r>
      <w:r>
        <w:t>https://mcp.opencaselaw.ch/entscheid/ge_gerichte_4A_590_2019</w:t>
      </w:r>
    </w:p>
    <w:p>
      <w:r>
        <w:t>FR: GE_GERICHTE 4A_590/2019 du 6 janvier 2020</w:t>
      </w:r>
    </w:p>
    <w:p>
      <w:r>
        <w:t>IT: GE_GERICHTE 4A_590/2019 del 6 gennaio 2020</w:t>
      </w:r>
    </w:p>
    <w:p>
      <w:pPr>
        <w:pStyle w:val="Heading2"/>
      </w:pPr>
      <w:r>
        <w:t>Regeste</w:t>
      </w:r>
    </w:p>
    <w:p>
      <w:r>
        <w:t>Résumé: DROIT D'ÊTRE ENTENDU - REPORT D'AUDIENCE Le droit d’être entendu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In casu, la décision ne saurait être annulée au motif que les défendeurs se sont vus refuser un second report d’audience, demandé tardivement, et dont la motivation ne convainc pas. De plus, les défendeurs omettent d'indiquer, même par simple allusion, les arguments de fait ou de droit qu'ils auraient soulevés à l'audience, s'ils s'y étaient présentés, propres à changer l’issue de la procédure.</w:t>
      </w:r>
    </w:p>
    <w:p>
      <w:pPr>
        <w:pStyle w:val="Heading2"/>
      </w:pPr>
      <w:r>
        <w:t>Volltext</w:t>
      </w:r>
    </w:p>
    <w:p>
      <w:r>
        <w:t>Résumé: DROIT D'ÊTRE ENTENDU - REPORT D'AUDIENCE Le droit d’être entendu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In casu, la décision ne saurait être annulée au motif que les défendeurs se sont vus refuser un second report d’audience, demandé tardivement, et dont la motivation ne convainc pas. De plus, les défendeurs omettent d'indiquer, même par simple allusion, les arguments de fait ou de droit qu'ils auraient soulevés à l'audience, s'ils s'y étaient présentés, propres à changer l’issue de la procédure.</w:t>
      </w:r>
    </w:p>
    <w:p>
      <w:r>
        <w:t>Descripteurs: Descripteurs: BAIL À LOYER;PROCÉDURE;DROIT D'ÊTRE ENTENDU</w:t>
      </w:r>
    </w:p>
    <w:p>
      <w:r>
        <w:t>Normes: Normes: Cst.29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