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4A_576/2008 vom 19. Februar 2009</w:t>
      </w:r>
    </w:p>
    <w:p>
      <w:r>
        <w:t>GE Cour de justice, 2009-02-19, FR</w:t>
      </w:r>
    </w:p>
    <w:p>
      <w:r>
        <w:rPr>
          <w:b/>
        </w:rPr>
        <w:t xml:space="preserve">Quelle: </w:t>
      </w:r>
      <w:r>
        <w:t>https://mcp.opencaselaw.ch/entscheid/ge_gerichte_4A_576_2008</w:t>
      </w:r>
    </w:p>
    <w:p>
      <w:r>
        <w:t>FR: GE_GERICHTE 4A_576/2008 du 19 février 2009</w:t>
      </w:r>
    </w:p>
    <w:p>
      <w:r>
        <w:t>IT: GE_GERICHTE 4A_576/2008 del 19 febbraio 2009</w:t>
      </w:r>
    </w:p>
    <w:p>
      <w:pPr>
        <w:pStyle w:val="Heading2"/>
      </w:pPr>
      <w:r>
        <w:t>Regeste</w:t>
      </w:r>
    </w:p>
    <w:p>
      <w:r>
        <w:t>Résumé: CONTESTATION DU LOYER INITIAL - AVENANT - MODIFICATION DES ÉLÉMENTS ESSENTIELS DU CONTRAT Un avenant qui modifie plusieurs éléments du contrat de bail initial (parties, affectation des locaux, loyer) constitue un nouveau contrat de bail et ouvre la voie à la contestation du loyer initial.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